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49"/>
        <w:gridCol w:w="3408"/>
        <w:gridCol w:w="3424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545035">
              <w:rPr>
                <w:sz w:val="24"/>
                <w:szCs w:val="24"/>
              </w:rPr>
              <w:t>20940</w:t>
            </w:r>
            <w:r w:rsidR="009158D3">
              <w:rPr>
                <w:sz w:val="24"/>
                <w:szCs w:val="24"/>
              </w:rPr>
              <w:t>1</w:t>
            </w:r>
            <w:r w:rsidRPr="00B2673D">
              <w:rPr>
                <w:sz w:val="24"/>
                <w:szCs w:val="24"/>
              </w:rPr>
              <w:t>_________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9158D3">
              <w:rPr>
                <w:sz w:val="24"/>
                <w:szCs w:val="24"/>
              </w:rPr>
              <w:t>14</w:t>
            </w:r>
            <w:r w:rsidRPr="00B2673D">
              <w:rPr>
                <w:sz w:val="24"/>
                <w:szCs w:val="24"/>
              </w:rPr>
              <w:t>»</w:t>
            </w:r>
            <w:r w:rsidR="00545035">
              <w:rPr>
                <w:sz w:val="24"/>
                <w:szCs w:val="24"/>
              </w:rPr>
              <w:t xml:space="preserve"> декабря </w:t>
            </w:r>
            <w:r w:rsidRPr="00B2673D">
              <w:rPr>
                <w:sz w:val="24"/>
                <w:szCs w:val="24"/>
              </w:rPr>
              <w:t>20</w:t>
            </w:r>
            <w:r w:rsidR="00545035">
              <w:rPr>
                <w:sz w:val="24"/>
                <w:szCs w:val="24"/>
              </w:rPr>
              <w:t>23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545035" w:rsidRPr="00545035">
        <w:rPr>
          <w:shd w:val="clear" w:color="auto" w:fill="DBE5F1" w:themeFill="accent1" w:themeFillTint="33"/>
        </w:rPr>
        <w:t>открытые конкурентные переговоры (ЭТП)</w:t>
      </w:r>
    </w:p>
    <w:p w:rsidR="00625762" w:rsidRPr="00545035" w:rsidRDefault="002A48AF" w:rsidP="006D37B6">
      <w:pPr>
        <w:pStyle w:val="aff4"/>
        <w:spacing w:before="60" w:after="60"/>
        <w:ind w:left="0" w:firstLine="851"/>
        <w:contextualSpacing w:val="0"/>
        <w:jc w:val="both"/>
        <w:outlineLvl w:val="0"/>
      </w:pPr>
      <w:r w:rsidRPr="00545035"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545035">
        <w:rPr>
          <w:snapToGrid w:val="0"/>
          <w:u w:val="single"/>
          <w:shd w:val="clear" w:color="auto" w:fill="DBE5F1" w:themeFill="accent1" w:themeFillTint="33"/>
        </w:rPr>
        <w:t>АО «Петербургская сбытовая компания»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545035" w:rsidRDefault="005450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45035">
        <w:rPr>
          <w:rStyle w:val="FontStyle128"/>
          <w:snapToGrid w:val="0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Pr="00545035">
          <w:rPr>
            <w:rStyle w:val="a8"/>
            <w:snapToGrid w:val="0"/>
          </w:rPr>
          <w:t>www.zakupki.gov.ru</w:t>
        </w:r>
      </w:hyperlink>
      <w:r w:rsidRPr="00545035">
        <w:rPr>
          <w:snapToGrid w:val="0"/>
          <w:color w:val="0070C0"/>
        </w:rPr>
        <w:t xml:space="preserve">, </w:t>
      </w:r>
      <w:r w:rsidRPr="00545035">
        <w:rPr>
          <w:rStyle w:val="FontStyle128"/>
          <w:snapToGrid w:val="0"/>
          <w:sz w:val="24"/>
          <w:szCs w:val="24"/>
          <w:shd w:val="clear" w:color="auto" w:fill="DBE5F1" w:themeFill="accent1" w:themeFillTint="33"/>
        </w:rPr>
        <w:t xml:space="preserve">электронная торговая площадка: </w:t>
      </w:r>
      <w:bookmarkStart w:id="3" w:name="_Hlk141441987"/>
      <w:r w:rsidRPr="00545035">
        <w:rPr>
          <w:shd w:val="clear" w:color="auto" w:fill="DBE5F1" w:themeFill="accent1" w:themeFillTint="33"/>
        </w:rPr>
        <w:fldChar w:fldCharType="begin"/>
      </w:r>
      <w:r w:rsidRPr="00545035">
        <w:rPr>
          <w:shd w:val="clear" w:color="auto" w:fill="DBE5F1" w:themeFill="accent1" w:themeFillTint="33"/>
        </w:rPr>
        <w:instrText xml:space="preserve"> HYPERLINK "http://www.tektorg.ru" </w:instrText>
      </w:r>
      <w:r w:rsidRPr="00545035">
        <w:rPr>
          <w:shd w:val="clear" w:color="auto" w:fill="DBE5F1" w:themeFill="accent1" w:themeFillTint="33"/>
        </w:rPr>
        <w:fldChar w:fldCharType="separate"/>
      </w:r>
      <w:r w:rsidRPr="00545035">
        <w:rPr>
          <w:rStyle w:val="a8"/>
          <w:snapToGrid w:val="0"/>
          <w:shd w:val="clear" w:color="auto" w:fill="DBE5F1" w:themeFill="accent1" w:themeFillTint="33"/>
        </w:rPr>
        <w:t>www.tektorg.ru</w:t>
      </w:r>
      <w:r w:rsidRPr="00545035">
        <w:rPr>
          <w:shd w:val="clear" w:color="auto" w:fill="DBE5F1" w:themeFill="accent1" w:themeFillTint="33"/>
        </w:rPr>
        <w:fldChar w:fldCharType="end"/>
      </w:r>
      <w:r w:rsidRPr="00545035">
        <w:rPr>
          <w:snapToGrid w:val="0"/>
        </w:rPr>
        <w:t xml:space="preserve">, </w:t>
      </w:r>
      <w:bookmarkEnd w:id="3"/>
      <w:r w:rsidRPr="00545035">
        <w:rPr>
          <w:snapToGrid w:val="0"/>
        </w:rPr>
        <w:t xml:space="preserve">а также на сайте Заказчика и организатора закупки </w:t>
      </w:r>
      <w:hyperlink r:id="rId9" w:history="1">
        <w:r w:rsidRPr="00545035">
          <w:rPr>
            <w:rStyle w:val="a8"/>
            <w:snapToGrid w:val="0"/>
          </w:rPr>
          <w:t>www.interrao-zakupki.ru</w:t>
        </w:r>
      </w:hyperlink>
    </w:p>
    <w:p w:rsidR="00881310" w:rsidRPr="00B2673D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  <w:u w:val="single"/>
        </w:rPr>
      </w:pPr>
      <w:bookmarkStart w:id="4" w:name="_Hlk145065323"/>
      <w:r>
        <w:rPr>
          <w:sz w:val="24"/>
          <w:u w:val="single"/>
          <w:shd w:val="clear" w:color="auto" w:fill="DBE5F1" w:themeFill="accent1" w:themeFillTint="33"/>
        </w:rPr>
        <w:t>АО «Петербургская сбытовая компания»</w:t>
      </w:r>
    </w:p>
    <w:bookmarkEnd w:id="4"/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>Место нахождения: 195009, г. Санкт-Петербург, ул. Михайлова, 10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>Почтовый адрес: 195009, г. Санкт-Петербург, ул. Михайлова, 10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>Адрес электронной почты: office@pesc.ru</w:t>
      </w:r>
    </w:p>
    <w:p w:rsidR="00E145BC" w:rsidRPr="00B2673D" w:rsidRDefault="00545035" w:rsidP="00545035">
      <w:pPr>
        <w:pStyle w:val="af8"/>
        <w:tabs>
          <w:tab w:val="left" w:pos="1134"/>
        </w:tabs>
        <w:spacing w:before="0" w:line="240" w:lineRule="auto"/>
        <w:rPr>
          <w:sz w:val="24"/>
        </w:rPr>
      </w:pPr>
      <w:r>
        <w:rPr>
          <w:snapToGrid w:val="0"/>
          <w:sz w:val="24"/>
        </w:rPr>
        <w:tab/>
        <w:t>Контактный телефон: +7 (812) 303-69-69</w:t>
      </w:r>
    </w:p>
    <w:p w:rsidR="00761AEB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  <w:u w:val="single"/>
        </w:rPr>
      </w:pPr>
      <w:r>
        <w:rPr>
          <w:sz w:val="24"/>
          <w:u w:val="single"/>
          <w:shd w:val="clear" w:color="auto" w:fill="DBE5F1" w:themeFill="accent1" w:themeFillTint="33"/>
        </w:rPr>
        <w:t>ООО «Интер РАО – Центр управления закупками»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 xml:space="preserve">Место нахождения:119435, Россия, г. Москва, ул. Большая </w:t>
      </w:r>
      <w:proofErr w:type="spellStart"/>
      <w:r>
        <w:rPr>
          <w:sz w:val="24"/>
        </w:rPr>
        <w:t>Пироговская</w:t>
      </w:r>
      <w:proofErr w:type="spellEnd"/>
      <w:r>
        <w:rPr>
          <w:sz w:val="24"/>
        </w:rPr>
        <w:t>, д. 27, стр. 3.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 xml:space="preserve">Почтовый адрес: 119435, Россия, г. Москва, ул. Большая </w:t>
      </w:r>
      <w:proofErr w:type="spellStart"/>
      <w:r>
        <w:rPr>
          <w:sz w:val="24"/>
        </w:rPr>
        <w:t>Пироговская</w:t>
      </w:r>
      <w:proofErr w:type="spellEnd"/>
      <w:r>
        <w:rPr>
          <w:sz w:val="24"/>
        </w:rPr>
        <w:t>, д. 27, стр. 3.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 xml:space="preserve">Контактное лицо: </w:t>
      </w:r>
      <w:r>
        <w:rPr>
          <w:sz w:val="24"/>
          <w:u w:val="single"/>
          <w:shd w:val="clear" w:color="auto" w:fill="DBE5F1" w:themeFill="accent1" w:themeFillTint="33"/>
        </w:rPr>
        <w:t>Ларина Юлия Сергеевна</w:t>
      </w:r>
      <w:r>
        <w:rPr>
          <w:color w:val="548DD4"/>
          <w:sz w:val="24"/>
        </w:rPr>
        <w:t xml:space="preserve"> 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 xml:space="preserve">Контактный телефон: +7 (495) 664 8840 доб. </w:t>
      </w:r>
      <w:r>
        <w:rPr>
          <w:sz w:val="24"/>
          <w:u w:val="single"/>
          <w:shd w:val="clear" w:color="auto" w:fill="DBE5F1" w:themeFill="accent1" w:themeFillTint="33"/>
        </w:rPr>
        <w:t>6168</w:t>
      </w:r>
    </w:p>
    <w:p w:rsidR="00106E7B" w:rsidRPr="00B2673D" w:rsidRDefault="00545035" w:rsidP="00545035">
      <w:pPr>
        <w:pStyle w:val="af8"/>
        <w:tabs>
          <w:tab w:val="left" w:pos="1134"/>
        </w:tabs>
        <w:spacing w:before="0" w:line="240" w:lineRule="auto"/>
        <w:rPr>
          <w:sz w:val="24"/>
        </w:rPr>
      </w:pPr>
      <w:r>
        <w:rPr>
          <w:snapToGrid w:val="0"/>
          <w:sz w:val="24"/>
        </w:rPr>
        <w:tab/>
        <w:t xml:space="preserve">Адрес электронной почты: </w:t>
      </w:r>
      <w:hyperlink r:id="rId10" w:history="1">
        <w:r>
          <w:rPr>
            <w:rStyle w:val="a8"/>
            <w:snapToGrid w:val="0"/>
            <w:sz w:val="24"/>
            <w:lang w:val="en-US"/>
          </w:rPr>
          <w:t>larina</w:t>
        </w:r>
        <w:r>
          <w:rPr>
            <w:rStyle w:val="a8"/>
            <w:snapToGrid w:val="0"/>
            <w:sz w:val="24"/>
          </w:rPr>
          <w:t>_</w:t>
        </w:r>
        <w:r>
          <w:rPr>
            <w:rStyle w:val="a8"/>
            <w:snapToGrid w:val="0"/>
            <w:sz w:val="24"/>
            <w:lang w:val="en-US"/>
          </w:rPr>
          <w:t>ys</w:t>
        </w:r>
        <w:r>
          <w:rPr>
            <w:rStyle w:val="a8"/>
            <w:snapToGrid w:val="0"/>
            <w:sz w:val="24"/>
          </w:rPr>
          <w:t>@</w:t>
        </w:r>
        <w:r>
          <w:rPr>
            <w:rStyle w:val="a8"/>
            <w:snapToGrid w:val="0"/>
            <w:sz w:val="24"/>
            <w:lang w:val="en-US"/>
          </w:rPr>
          <w:t>interrao</w:t>
        </w:r>
        <w:r>
          <w:rPr>
            <w:rStyle w:val="a8"/>
            <w:snapToGrid w:val="0"/>
            <w:sz w:val="24"/>
          </w:rPr>
          <w:t>.</w:t>
        </w:r>
        <w:r>
          <w:rPr>
            <w:rStyle w:val="a8"/>
            <w:snapToGrid w:val="0"/>
            <w:sz w:val="24"/>
            <w:lang w:val="en-US"/>
          </w:rPr>
          <w:t>ru</w:t>
        </w:r>
      </w:hyperlink>
    </w:p>
    <w:p w:rsidR="00096391" w:rsidRPr="00B2673D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 xml:space="preserve">Краткое описание предмета закупки: </w:t>
      </w:r>
      <w:r w:rsidR="00545035">
        <w:t>в</w:t>
      </w:r>
      <w:r w:rsidRPr="00B2673D">
        <w:t xml:space="preserve"> соответствии с разделом 6 «Техническая часть» Закупочной документации.</w:t>
      </w:r>
    </w:p>
    <w:p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:rsidR="003842A8" w:rsidRPr="00B2673D" w:rsidRDefault="009158D3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158D3">
        <w:rPr>
          <w:sz w:val="24"/>
          <w:shd w:val="clear" w:color="auto" w:fill="DBE5F1" w:themeFill="accent1" w:themeFillTint="33"/>
        </w:rPr>
        <w:lastRenderedPageBreak/>
        <w:t>Лот 1: Содержание и эксплуатация объектов недвижимости, 850.23.00003</w:t>
      </w:r>
      <w:r w:rsidR="00533C8D" w:rsidRPr="00B2673D">
        <w:rPr>
          <w:sz w:val="24"/>
        </w:rPr>
        <w:t>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:rsidR="003842A8" w:rsidRPr="00B2673D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545035">
        <w:rPr>
          <w:sz w:val="24"/>
        </w:rPr>
        <w:t>Лот </w:t>
      </w:r>
      <w:r w:rsidR="00CA310F" w:rsidRPr="00545035">
        <w:rPr>
          <w:sz w:val="24"/>
        </w:rPr>
        <w:t>1</w:t>
      </w:r>
      <w:r w:rsidR="002A48AF" w:rsidRPr="00545035">
        <w:rPr>
          <w:sz w:val="24"/>
        </w:rPr>
        <w:t xml:space="preserve"> в соответствии с разделом 6 «Техническая часть» Закупочной документации</w:t>
      </w:r>
      <w:r w:rsidRPr="00B2673D">
        <w:rPr>
          <w:sz w:val="24"/>
        </w:rPr>
        <w:t>.</w:t>
      </w:r>
    </w:p>
    <w:p w:rsidR="00E819F8" w:rsidRPr="00B2673D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B2673D" w:rsidRDefault="00545035" w:rsidP="002A48AF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545035">
        <w:rPr>
          <w:sz w:val="24"/>
        </w:rPr>
        <w:t>Лот 1 в соответствии с разделом 6 «Техническая часть» Закупочной документации</w:t>
      </w:r>
      <w:r w:rsidR="002A48AF" w:rsidRPr="00B2673D">
        <w:rPr>
          <w:sz w:val="24"/>
        </w:rPr>
        <w:t>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</w:p>
    <w:p w:rsidR="00F15A75" w:rsidRPr="00B2673D" w:rsidRDefault="0054503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545035">
        <w:rPr>
          <w:sz w:val="24"/>
        </w:rPr>
        <w:t>Лот 1 в соответствии с разделом 6 «Техническая часть» Закупочной документации</w:t>
      </w:r>
      <w:r w:rsidR="00F15A75"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3949A9" w:rsidRDefault="009158D3" w:rsidP="00545035">
      <w:pPr>
        <w:pStyle w:val="aff4"/>
        <w:spacing w:before="60" w:after="60"/>
        <w:ind w:left="851" w:firstLine="283"/>
        <w:contextualSpacing w:val="0"/>
        <w:jc w:val="both"/>
        <w:rPr>
          <w:rStyle w:val="FontStyle128"/>
          <w:sz w:val="24"/>
          <w:szCs w:val="24"/>
          <w:u w:val="single"/>
        </w:rPr>
      </w:pPr>
      <w:r w:rsidRPr="009158D3">
        <w:rPr>
          <w:rStyle w:val="FontStyle128"/>
          <w:sz w:val="24"/>
          <w:szCs w:val="24"/>
          <w:u w:val="single"/>
          <w:shd w:val="clear" w:color="auto" w:fill="DBE5F1" w:themeFill="accent1" w:themeFillTint="33"/>
        </w:rPr>
        <w:t xml:space="preserve">Лот 1: </w:t>
      </w:r>
      <w:r w:rsidRPr="009158D3">
        <w:rPr>
          <w:rStyle w:val="FontStyle128"/>
          <w:b/>
          <w:sz w:val="24"/>
          <w:szCs w:val="24"/>
          <w:u w:val="single"/>
          <w:shd w:val="clear" w:color="auto" w:fill="DBE5F1" w:themeFill="accent1" w:themeFillTint="33"/>
        </w:rPr>
        <w:t>19 156 212,96</w:t>
      </w:r>
      <w:r w:rsidRPr="009158D3">
        <w:rPr>
          <w:rStyle w:val="FontStyle128"/>
          <w:sz w:val="24"/>
          <w:szCs w:val="24"/>
          <w:u w:val="single"/>
          <w:shd w:val="clear" w:color="auto" w:fill="DBE5F1" w:themeFill="accent1" w:themeFillTint="33"/>
        </w:rPr>
        <w:t xml:space="preserve"> руб. без НДС</w:t>
      </w:r>
    </w:p>
    <w:p w:rsidR="004244EA" w:rsidRPr="00050149" w:rsidRDefault="004244EA" w:rsidP="004244EA">
      <w:pPr>
        <w:tabs>
          <w:tab w:val="left" w:pos="567"/>
        </w:tabs>
        <w:spacing w:line="240" w:lineRule="auto"/>
        <w:ind w:left="1134" w:firstLine="0"/>
        <w:rPr>
          <w:b/>
          <w:sz w:val="24"/>
          <w:szCs w:val="24"/>
        </w:rPr>
      </w:pPr>
      <w:r w:rsidRPr="00050149">
        <w:rPr>
          <w:b/>
          <w:sz w:val="24"/>
          <w:szCs w:val="24"/>
          <w:u w:val="single"/>
        </w:rPr>
        <w:t>п.4 Технического задания</w:t>
      </w:r>
      <w:r w:rsidRPr="00050149">
        <w:rPr>
          <w:b/>
          <w:sz w:val="24"/>
          <w:szCs w:val="24"/>
        </w:rPr>
        <w:t>:</w:t>
      </w:r>
    </w:p>
    <w:p w:rsidR="009158D3" w:rsidRPr="009158D3" w:rsidRDefault="009158D3" w:rsidP="009158D3">
      <w:pPr>
        <w:autoSpaceDE w:val="0"/>
        <w:autoSpaceDN w:val="0"/>
        <w:adjustRightInd w:val="0"/>
        <w:spacing w:line="240" w:lineRule="auto"/>
        <w:ind w:left="1134" w:firstLine="0"/>
        <w:rPr>
          <w:sz w:val="24"/>
          <w:szCs w:val="24"/>
          <w:shd w:val="clear" w:color="auto" w:fill="FFFFFF"/>
          <w:lang w:eastAsia="ja-JP"/>
        </w:rPr>
      </w:pPr>
      <w:r w:rsidRPr="009158D3">
        <w:rPr>
          <w:sz w:val="24"/>
          <w:szCs w:val="24"/>
        </w:rPr>
        <w:t>4.1.</w:t>
      </w:r>
      <w:r w:rsidRPr="009158D3">
        <w:rPr>
          <w:b/>
          <w:sz w:val="24"/>
          <w:szCs w:val="24"/>
          <w:shd w:val="clear" w:color="auto" w:fill="FFFFFF"/>
          <w:lang w:eastAsia="ja-JP"/>
        </w:rPr>
        <w:t xml:space="preserve"> </w:t>
      </w:r>
      <w:r w:rsidRPr="009158D3">
        <w:rPr>
          <w:sz w:val="24"/>
          <w:szCs w:val="24"/>
          <w:shd w:val="clear" w:color="auto" w:fill="FFFFFF"/>
          <w:lang w:eastAsia="ja-JP"/>
        </w:rPr>
        <w:t>Участник должен подать оферту на начальную (максимальную) цену закупки, указанную в Извещении (заключается рамочный договор).</w:t>
      </w:r>
    </w:p>
    <w:p w:rsidR="009158D3" w:rsidRPr="009158D3" w:rsidRDefault="009158D3" w:rsidP="009158D3">
      <w:pPr>
        <w:autoSpaceDE w:val="0"/>
        <w:autoSpaceDN w:val="0"/>
        <w:adjustRightInd w:val="0"/>
        <w:spacing w:line="240" w:lineRule="auto"/>
        <w:ind w:left="1134" w:firstLine="0"/>
        <w:rPr>
          <w:sz w:val="24"/>
          <w:szCs w:val="24"/>
          <w:shd w:val="clear" w:color="auto" w:fill="FFFFFF"/>
          <w:lang w:eastAsia="ja-JP"/>
        </w:rPr>
      </w:pPr>
      <w:r w:rsidRPr="009158D3">
        <w:rPr>
          <w:sz w:val="24"/>
          <w:szCs w:val="24"/>
          <w:shd w:val="clear" w:color="auto" w:fill="FFFFFF"/>
          <w:lang w:eastAsia="ja-JP"/>
        </w:rPr>
        <w:t>4.2. Участник должен предоставить свое коммерческое предложение по форме «Таблица стоимости услуг №1»:</w:t>
      </w:r>
    </w:p>
    <w:p w:rsidR="009158D3" w:rsidRPr="009158D3" w:rsidRDefault="009158D3" w:rsidP="009158D3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360"/>
        <w:jc w:val="right"/>
        <w:rPr>
          <w:b/>
          <w:sz w:val="24"/>
          <w:szCs w:val="24"/>
        </w:rPr>
      </w:pPr>
      <w:r w:rsidRPr="009158D3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ab/>
      </w:r>
      <w:r w:rsidRPr="009158D3">
        <w:rPr>
          <w:b/>
          <w:sz w:val="24"/>
          <w:szCs w:val="24"/>
        </w:rPr>
        <w:t>Таблица стоимости услуг № 1</w:t>
      </w:r>
    </w:p>
    <w:tbl>
      <w:tblPr>
        <w:tblStyle w:val="aff3"/>
        <w:tblW w:w="9020" w:type="dxa"/>
        <w:tblInd w:w="1242" w:type="dxa"/>
        <w:tblLook w:val="04A0" w:firstRow="1" w:lastRow="0" w:firstColumn="1" w:lastColumn="0" w:noHBand="0" w:noVBand="1"/>
      </w:tblPr>
      <w:tblGrid>
        <w:gridCol w:w="567"/>
        <w:gridCol w:w="5982"/>
        <w:gridCol w:w="2471"/>
      </w:tblGrid>
      <w:tr w:rsidR="009158D3" w:rsidRPr="009158D3" w:rsidTr="009158D3">
        <w:tc>
          <w:tcPr>
            <w:tcW w:w="567" w:type="dxa"/>
          </w:tcPr>
          <w:p w:rsidR="009158D3" w:rsidRPr="009158D3" w:rsidRDefault="009158D3" w:rsidP="009158D3">
            <w:pPr>
              <w:shd w:val="clear" w:color="auto" w:fill="FFFFFF" w:themeFill="background1"/>
              <w:autoSpaceDE w:val="0"/>
              <w:autoSpaceDN w:val="0"/>
              <w:adjustRightInd w:val="0"/>
              <w:spacing w:before="120" w:after="120" w:line="240" w:lineRule="auto"/>
              <w:ind w:hanging="14"/>
              <w:jc w:val="left"/>
              <w:rPr>
                <w:sz w:val="22"/>
                <w:szCs w:val="22"/>
              </w:rPr>
            </w:pPr>
            <w:r w:rsidRPr="009158D3">
              <w:rPr>
                <w:sz w:val="22"/>
                <w:szCs w:val="22"/>
              </w:rPr>
              <w:t xml:space="preserve">№ </w:t>
            </w:r>
            <w:r w:rsidRPr="009158D3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5982" w:type="dxa"/>
          </w:tcPr>
          <w:p w:rsidR="009158D3" w:rsidRPr="009158D3" w:rsidRDefault="009158D3" w:rsidP="009158D3">
            <w:pPr>
              <w:shd w:val="clear" w:color="auto" w:fill="FFFFFF" w:themeFill="background1"/>
              <w:autoSpaceDE w:val="0"/>
              <w:autoSpaceDN w:val="0"/>
              <w:adjustRightInd w:val="0"/>
              <w:spacing w:before="120" w:after="120" w:line="240" w:lineRule="auto"/>
              <w:jc w:val="left"/>
              <w:rPr>
                <w:sz w:val="22"/>
                <w:szCs w:val="22"/>
              </w:rPr>
            </w:pPr>
            <w:r w:rsidRPr="009158D3">
              <w:rPr>
                <w:sz w:val="22"/>
                <w:szCs w:val="22"/>
              </w:rPr>
              <w:t>Наименование услуг</w:t>
            </w:r>
          </w:p>
        </w:tc>
        <w:tc>
          <w:tcPr>
            <w:tcW w:w="2471" w:type="dxa"/>
          </w:tcPr>
          <w:p w:rsidR="009158D3" w:rsidRPr="009158D3" w:rsidRDefault="009158D3" w:rsidP="009158D3">
            <w:pPr>
              <w:shd w:val="clear" w:color="auto" w:fill="FFFFFF" w:themeFill="background1"/>
              <w:autoSpaceDE w:val="0"/>
              <w:autoSpaceDN w:val="0"/>
              <w:adjustRightInd w:val="0"/>
              <w:spacing w:before="120" w:after="120" w:line="240" w:lineRule="auto"/>
              <w:ind w:firstLine="0"/>
              <w:jc w:val="left"/>
              <w:rPr>
                <w:sz w:val="22"/>
                <w:szCs w:val="22"/>
              </w:rPr>
            </w:pPr>
            <w:r w:rsidRPr="009158D3">
              <w:rPr>
                <w:sz w:val="22"/>
                <w:szCs w:val="22"/>
              </w:rPr>
              <w:t xml:space="preserve">Стоимость за </w:t>
            </w:r>
            <w:proofErr w:type="spellStart"/>
            <w:proofErr w:type="gramStart"/>
            <w:r w:rsidRPr="009158D3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9158D3">
              <w:rPr>
                <w:sz w:val="22"/>
                <w:szCs w:val="22"/>
              </w:rPr>
              <w:t>, в месяц, руб. без НДС</w:t>
            </w:r>
          </w:p>
        </w:tc>
      </w:tr>
      <w:tr w:rsidR="009158D3" w:rsidRPr="009158D3" w:rsidTr="009158D3">
        <w:tc>
          <w:tcPr>
            <w:tcW w:w="567" w:type="dxa"/>
          </w:tcPr>
          <w:p w:rsidR="009158D3" w:rsidRPr="009158D3" w:rsidRDefault="009158D3" w:rsidP="009158D3">
            <w:pPr>
              <w:shd w:val="clear" w:color="auto" w:fill="FFFFFF" w:themeFill="background1"/>
              <w:autoSpaceDE w:val="0"/>
              <w:autoSpaceDN w:val="0"/>
              <w:adjustRightInd w:val="0"/>
              <w:spacing w:before="120" w:after="120" w:line="240" w:lineRule="auto"/>
              <w:ind w:firstLine="0"/>
              <w:jc w:val="left"/>
              <w:rPr>
                <w:sz w:val="22"/>
                <w:szCs w:val="22"/>
              </w:rPr>
            </w:pPr>
            <w:r w:rsidRPr="009158D3">
              <w:rPr>
                <w:sz w:val="22"/>
                <w:szCs w:val="22"/>
              </w:rPr>
              <w:t>1</w:t>
            </w:r>
            <w:r w:rsidRPr="009158D3">
              <w:rPr>
                <w:sz w:val="22"/>
                <w:szCs w:val="22"/>
              </w:rPr>
              <w:t>.</w:t>
            </w:r>
          </w:p>
        </w:tc>
        <w:tc>
          <w:tcPr>
            <w:tcW w:w="5982" w:type="dxa"/>
          </w:tcPr>
          <w:p w:rsidR="009158D3" w:rsidRPr="009158D3" w:rsidRDefault="009158D3" w:rsidP="009158D3">
            <w:pPr>
              <w:shd w:val="clear" w:color="auto" w:fill="FFFFFF" w:themeFill="background1"/>
              <w:autoSpaceDE w:val="0"/>
              <w:autoSpaceDN w:val="0"/>
              <w:adjustRightInd w:val="0"/>
              <w:spacing w:before="120" w:after="120" w:line="240" w:lineRule="auto"/>
              <w:jc w:val="left"/>
              <w:rPr>
                <w:sz w:val="22"/>
                <w:szCs w:val="22"/>
              </w:rPr>
            </w:pPr>
            <w:r w:rsidRPr="009158D3">
              <w:rPr>
                <w:sz w:val="22"/>
                <w:szCs w:val="22"/>
              </w:rPr>
              <w:t>Содержание и эксплуатация объектов недвижимости</w:t>
            </w:r>
          </w:p>
        </w:tc>
        <w:tc>
          <w:tcPr>
            <w:tcW w:w="2471" w:type="dxa"/>
          </w:tcPr>
          <w:p w:rsidR="009158D3" w:rsidRPr="009158D3" w:rsidRDefault="009158D3" w:rsidP="009158D3">
            <w:pPr>
              <w:shd w:val="clear" w:color="auto" w:fill="FFFFFF" w:themeFill="background1"/>
              <w:autoSpaceDE w:val="0"/>
              <w:autoSpaceDN w:val="0"/>
              <w:adjustRightInd w:val="0"/>
              <w:spacing w:before="120" w:after="120" w:line="240" w:lineRule="auto"/>
              <w:jc w:val="left"/>
              <w:rPr>
                <w:sz w:val="22"/>
                <w:szCs w:val="22"/>
              </w:rPr>
            </w:pPr>
          </w:p>
        </w:tc>
      </w:tr>
    </w:tbl>
    <w:p w:rsidR="009158D3" w:rsidRPr="009158D3" w:rsidRDefault="009158D3" w:rsidP="009158D3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left="1134" w:firstLine="0"/>
        <w:jc w:val="left"/>
        <w:rPr>
          <w:sz w:val="24"/>
          <w:szCs w:val="24"/>
        </w:rPr>
      </w:pPr>
      <w:r w:rsidRPr="009158D3">
        <w:rPr>
          <w:sz w:val="24"/>
          <w:szCs w:val="24"/>
          <w:shd w:val="clear" w:color="auto" w:fill="DBE5F1" w:themeFill="accent1" w:themeFillTint="33"/>
        </w:rPr>
        <w:t xml:space="preserve">Стоимость услуг за 1 кв. м. в месяц </w:t>
      </w:r>
      <w:r w:rsidRPr="009158D3">
        <w:rPr>
          <w:b/>
          <w:sz w:val="24"/>
          <w:szCs w:val="24"/>
          <w:shd w:val="clear" w:color="auto" w:fill="DBE5F1" w:themeFill="accent1" w:themeFillTint="33"/>
        </w:rPr>
        <w:t>не должна</w:t>
      </w:r>
      <w:r w:rsidRPr="009158D3">
        <w:rPr>
          <w:sz w:val="24"/>
          <w:szCs w:val="24"/>
          <w:shd w:val="clear" w:color="auto" w:fill="DBE5F1" w:themeFill="accent1" w:themeFillTint="33"/>
        </w:rPr>
        <w:t xml:space="preserve"> превышать </w:t>
      </w:r>
      <w:r w:rsidRPr="009158D3">
        <w:rPr>
          <w:b/>
          <w:sz w:val="24"/>
          <w:szCs w:val="24"/>
          <w:shd w:val="clear" w:color="auto" w:fill="DBE5F1" w:themeFill="accent1" w:themeFillTint="33"/>
        </w:rPr>
        <w:t>64 руб. 66 коп</w:t>
      </w:r>
      <w:r w:rsidRPr="009158D3">
        <w:rPr>
          <w:sz w:val="24"/>
          <w:szCs w:val="24"/>
          <w:shd w:val="clear" w:color="auto" w:fill="DBE5F1" w:themeFill="accent1" w:themeFillTint="33"/>
        </w:rPr>
        <w:t>. без НДС</w:t>
      </w:r>
      <w:r w:rsidRPr="009158D3">
        <w:rPr>
          <w:sz w:val="24"/>
          <w:szCs w:val="24"/>
        </w:rPr>
        <w:t>.</w:t>
      </w:r>
    </w:p>
    <w:p w:rsidR="00050149" w:rsidRPr="009158D3" w:rsidRDefault="009158D3" w:rsidP="009158D3">
      <w:pPr>
        <w:tabs>
          <w:tab w:val="left" w:pos="567"/>
        </w:tabs>
        <w:spacing w:line="240" w:lineRule="auto"/>
        <w:ind w:left="1134" w:firstLine="0"/>
        <w:rPr>
          <w:b/>
          <w:sz w:val="24"/>
          <w:szCs w:val="24"/>
        </w:rPr>
      </w:pPr>
      <w:r w:rsidRPr="009158D3">
        <w:rPr>
          <w:sz w:val="24"/>
          <w:szCs w:val="24"/>
        </w:rPr>
        <w:t xml:space="preserve">4.3. </w:t>
      </w:r>
      <w:r w:rsidRPr="009158D3">
        <w:rPr>
          <w:b/>
          <w:color w:val="FF0000"/>
          <w:sz w:val="24"/>
          <w:szCs w:val="24"/>
        </w:rPr>
        <w:t>ВНИМАНИЕ</w:t>
      </w:r>
      <w:r w:rsidRPr="009158D3">
        <w:rPr>
          <w:sz w:val="24"/>
          <w:szCs w:val="24"/>
        </w:rPr>
        <w:t>: Стоимость услуг за 1 кв. м. в месяц, указанная Участником в коммерческом предложении, также должна быть указана Участником на электронной торговой площадке как «Цена предложения за группу товаров, работ, услуг в валюте начальной цены без НДС». Невыполнение указанного требования является основанием для отклонения заявки участника.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:rsidR="00881310" w:rsidRPr="00545035" w:rsidRDefault="00881310" w:rsidP="00545035">
      <w:pPr>
        <w:pStyle w:val="aff4"/>
        <w:spacing w:before="60" w:after="60"/>
        <w:ind w:left="851" w:firstLine="283"/>
        <w:contextualSpacing w:val="0"/>
        <w:jc w:val="both"/>
        <w:rPr>
          <w:color w:val="548DD4"/>
          <w:u w:val="single"/>
        </w:rPr>
      </w:pPr>
      <w:r w:rsidRPr="00545035">
        <w:rPr>
          <w:u w:val="single"/>
          <w:shd w:val="clear" w:color="auto" w:fill="DBE5F1" w:themeFill="accent1" w:themeFillTint="33"/>
        </w:rPr>
        <w:t>не требуется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>Требования, предъявляемые к поставляемым товарам, выполняемым работам, оказываемым услугам:</w:t>
      </w:r>
      <w:r w:rsidR="00545035">
        <w:rPr>
          <w:rStyle w:val="FontStyle128"/>
          <w:sz w:val="24"/>
          <w:szCs w:val="24"/>
        </w:rPr>
        <w:t xml:space="preserve"> </w:t>
      </w:r>
      <w:r w:rsidRPr="00545035">
        <w:t>в соответствии с разделом </w:t>
      </w:r>
      <w:r w:rsidR="008D0F51" w:rsidRPr="00545035">
        <w:t>6</w:t>
      </w:r>
      <w:r w:rsidRPr="00545035">
        <w:t xml:space="preserve"> «Техническая часть»</w:t>
      </w:r>
      <w:r w:rsidR="00C54650" w:rsidRPr="00545035">
        <w:t xml:space="preserve"> Закупочной документации</w:t>
      </w:r>
      <w:r w:rsidR="00545035" w:rsidRPr="00545035"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545035">
        <w:rPr>
          <w:u w:val="single"/>
          <w:shd w:val="clear" w:color="auto" w:fill="DBE5F1" w:themeFill="accent1" w:themeFillTint="33"/>
        </w:rPr>
        <w:t>возможно</w:t>
      </w:r>
    </w:p>
    <w:p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 xml:space="preserve">Сведения о предоставлении преференций: </w:t>
      </w:r>
      <w:r w:rsidR="007A11E3" w:rsidRPr="00E3678B">
        <w:rPr>
          <w:rStyle w:val="FontStyle128"/>
          <w:color w:val="auto"/>
          <w:sz w:val="24"/>
          <w:szCs w:val="24"/>
        </w:rPr>
        <w:t>предоставляются в соответствии с Постановлением Правительства Российской Федерации от 16.09.2016 № 925</w:t>
      </w:r>
    </w:p>
    <w:p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5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5"/>
    </w:p>
    <w:p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545035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u w:val="single"/>
        </w:rPr>
      </w:pPr>
      <w:bookmarkStart w:id="6" w:name="_Hlk146803851"/>
      <w:r w:rsidRPr="00545035">
        <w:t xml:space="preserve">Дата начала предоставления разъяснений закупочной документации: </w:t>
      </w:r>
      <w:r w:rsidRPr="00545035">
        <w:rPr>
          <w:u w:val="single"/>
        </w:rPr>
        <w:t>с даты публикации извещения.</w:t>
      </w:r>
    </w:p>
    <w:p w:rsidR="00C725AA" w:rsidRPr="00545035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</w:pPr>
      <w:r w:rsidRPr="00545035">
        <w:rPr>
          <w:iCs/>
        </w:rPr>
        <w:t>Дата окончания срока предоставления разъяснений закупочной документации:</w:t>
      </w:r>
      <w:r w:rsidRPr="00545035">
        <w:rPr>
          <w:i/>
        </w:rPr>
        <w:t xml:space="preserve"> </w:t>
      </w:r>
      <w:r w:rsidRPr="00545035">
        <w:rPr>
          <w:i/>
        </w:rPr>
        <w:br/>
      </w:r>
      <w:r w:rsidRPr="00545035">
        <w:t xml:space="preserve"> </w:t>
      </w:r>
      <w:r w:rsidRPr="00545035">
        <w:rPr>
          <w:bCs/>
          <w:iCs/>
        </w:rPr>
        <w:t>за 3 рабочих дня до окончания срока подачи предложений</w:t>
      </w:r>
      <w:r w:rsidR="00545035">
        <w:rPr>
          <w:bCs/>
          <w:iCs/>
        </w:rPr>
        <w:t>.</w:t>
      </w:r>
    </w:p>
    <w:p w:rsidR="00C725AA" w:rsidRPr="00932BEF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</w:pPr>
      <w:r w:rsidRPr="00545035">
        <w:rPr>
          <w:i/>
          <w:iCs/>
        </w:rPr>
        <w:t>(Организатор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заявок)</w:t>
      </w:r>
      <w:r w:rsidRPr="00C725AA">
        <w:rPr>
          <w:i/>
          <w:iCs/>
        </w:rPr>
        <w:t>.</w:t>
      </w:r>
    </w:p>
    <w:bookmarkEnd w:id="6"/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545035">
        <w:rPr>
          <w:u w:val="single"/>
          <w:shd w:val="clear" w:color="auto" w:fill="DBE5F1" w:themeFill="accent1" w:themeFillTint="33"/>
        </w:rPr>
        <w:t xml:space="preserve">до </w:t>
      </w:r>
      <w:r w:rsidR="00545035" w:rsidRPr="00545035">
        <w:rPr>
          <w:u w:val="single"/>
          <w:shd w:val="clear" w:color="auto" w:fill="DBE5F1" w:themeFill="accent1" w:themeFillTint="33"/>
        </w:rPr>
        <w:t>11</w:t>
      </w:r>
      <w:r w:rsidR="005914BF" w:rsidRPr="00545035">
        <w:rPr>
          <w:u w:val="single"/>
          <w:shd w:val="clear" w:color="auto" w:fill="DBE5F1" w:themeFill="accent1" w:themeFillTint="33"/>
        </w:rPr>
        <w:t>:</w:t>
      </w:r>
      <w:r w:rsidR="00545035" w:rsidRPr="00545035">
        <w:rPr>
          <w:u w:val="single"/>
          <w:shd w:val="clear" w:color="auto" w:fill="DBE5F1" w:themeFill="accent1" w:themeFillTint="33"/>
        </w:rPr>
        <w:t xml:space="preserve">00 </w:t>
      </w:r>
      <w:r w:rsidR="005914BF" w:rsidRPr="00545035">
        <w:rPr>
          <w:u w:val="single"/>
          <w:shd w:val="clear" w:color="auto" w:fill="DBE5F1" w:themeFill="accent1" w:themeFillTint="33"/>
        </w:rPr>
        <w:t>(по московскому времени) «</w:t>
      </w:r>
      <w:r w:rsidR="009158D3">
        <w:rPr>
          <w:u w:val="single"/>
          <w:shd w:val="clear" w:color="auto" w:fill="DBE5F1" w:themeFill="accent1" w:themeFillTint="33"/>
        </w:rPr>
        <w:t>09</w:t>
      </w:r>
      <w:r w:rsidR="005914BF" w:rsidRPr="00545035">
        <w:rPr>
          <w:u w:val="single"/>
          <w:shd w:val="clear" w:color="auto" w:fill="DBE5F1" w:themeFill="accent1" w:themeFillTint="33"/>
        </w:rPr>
        <w:t>»</w:t>
      </w:r>
      <w:r w:rsidR="009158D3">
        <w:rPr>
          <w:u w:val="single"/>
          <w:shd w:val="clear" w:color="auto" w:fill="DBE5F1" w:themeFill="accent1" w:themeFillTint="33"/>
        </w:rPr>
        <w:t xml:space="preserve"> января </w:t>
      </w:r>
      <w:r w:rsidR="005914BF" w:rsidRPr="00545035">
        <w:rPr>
          <w:u w:val="single"/>
          <w:shd w:val="clear" w:color="auto" w:fill="DBE5F1" w:themeFill="accent1" w:themeFillTint="33"/>
        </w:rPr>
        <w:t>2</w:t>
      </w:r>
      <w:r w:rsidR="00545035" w:rsidRPr="00545035">
        <w:rPr>
          <w:u w:val="single"/>
          <w:shd w:val="clear" w:color="auto" w:fill="DBE5F1" w:themeFill="accent1" w:themeFillTint="33"/>
        </w:rPr>
        <w:t>02</w:t>
      </w:r>
      <w:r w:rsidR="009158D3">
        <w:rPr>
          <w:u w:val="single"/>
          <w:shd w:val="clear" w:color="auto" w:fill="DBE5F1" w:themeFill="accent1" w:themeFillTint="33"/>
        </w:rPr>
        <w:t xml:space="preserve">4 </w:t>
      </w:r>
      <w:r w:rsidR="005914BF" w:rsidRPr="00545035">
        <w:rPr>
          <w:u w:val="single"/>
          <w:shd w:val="clear" w:color="auto" w:fill="DBE5F1" w:themeFill="accent1" w:themeFillTint="33"/>
        </w:rPr>
        <w:t>года</w:t>
      </w:r>
      <w:r w:rsidR="00793214" w:rsidRPr="00B2673D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:rsidR="00C725AA" w:rsidRPr="00C725AA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851" w:hanging="851"/>
        <w:contextualSpacing w:val="0"/>
        <w:jc w:val="both"/>
        <w:outlineLvl w:val="0"/>
      </w:pPr>
      <w:bookmarkStart w:id="7" w:name="_Hlk146803949"/>
      <w:r w:rsidRPr="00C725AA">
        <w:t xml:space="preserve">Возможность проведения </w:t>
      </w:r>
      <w:proofErr w:type="spellStart"/>
      <w:r w:rsidRPr="00C725AA">
        <w:t>уторговывания</w:t>
      </w:r>
      <w:proofErr w:type="spellEnd"/>
      <w:r w:rsidRPr="00C725AA">
        <w:t xml:space="preserve">: </w:t>
      </w:r>
      <w:r w:rsidR="00545035" w:rsidRPr="00545035">
        <w:rPr>
          <w:u w:val="single"/>
          <w:shd w:val="clear" w:color="auto" w:fill="DBE5F1" w:themeFill="accent1" w:themeFillTint="33"/>
        </w:rPr>
        <w:t>н</w:t>
      </w:r>
      <w:r w:rsidRPr="00545035">
        <w:rPr>
          <w:u w:val="single"/>
          <w:shd w:val="clear" w:color="auto" w:fill="DBE5F1" w:themeFill="accent1" w:themeFillTint="33"/>
        </w:rPr>
        <w:t>евозможно</w:t>
      </w:r>
    </w:p>
    <w:bookmarkEnd w:id="7"/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545035">
        <w:rPr>
          <w:u w:val="single"/>
          <w:shd w:val="clear" w:color="auto" w:fill="DBE5F1" w:themeFill="accent1" w:themeFillTint="33"/>
        </w:rPr>
        <w:t>«</w:t>
      </w:r>
      <w:r w:rsidR="009158D3">
        <w:rPr>
          <w:u w:val="single"/>
          <w:shd w:val="clear" w:color="auto" w:fill="DBE5F1" w:themeFill="accent1" w:themeFillTint="33"/>
        </w:rPr>
        <w:t>09</w:t>
      </w:r>
      <w:r w:rsidRPr="00545035">
        <w:rPr>
          <w:u w:val="single"/>
          <w:shd w:val="clear" w:color="auto" w:fill="DBE5F1" w:themeFill="accent1" w:themeFillTint="33"/>
        </w:rPr>
        <w:t>»</w:t>
      </w:r>
      <w:r w:rsidR="009158D3">
        <w:rPr>
          <w:u w:val="single"/>
          <w:shd w:val="clear" w:color="auto" w:fill="DBE5F1" w:themeFill="accent1" w:themeFillTint="33"/>
        </w:rPr>
        <w:t xml:space="preserve"> января </w:t>
      </w:r>
      <w:r w:rsidRPr="00545035">
        <w:rPr>
          <w:u w:val="single"/>
          <w:shd w:val="clear" w:color="auto" w:fill="DBE5F1" w:themeFill="accent1" w:themeFillTint="33"/>
        </w:rPr>
        <w:t>20</w:t>
      </w:r>
      <w:r w:rsidR="00545035" w:rsidRPr="00545035">
        <w:rPr>
          <w:u w:val="single"/>
          <w:shd w:val="clear" w:color="auto" w:fill="DBE5F1" w:themeFill="accent1" w:themeFillTint="33"/>
        </w:rPr>
        <w:t>2</w:t>
      </w:r>
      <w:r w:rsidR="009158D3">
        <w:rPr>
          <w:u w:val="single"/>
          <w:shd w:val="clear" w:color="auto" w:fill="DBE5F1" w:themeFill="accent1" w:themeFillTint="33"/>
        </w:rPr>
        <w:t>4</w:t>
      </w:r>
      <w:r w:rsidRPr="00545035">
        <w:rPr>
          <w:u w:val="single"/>
          <w:shd w:val="clear" w:color="auto" w:fill="DBE5F1" w:themeFill="accent1" w:themeFillTint="33"/>
        </w:rPr>
        <w:t xml:space="preserve"> года</w:t>
      </w:r>
      <w:r w:rsidR="00545035" w:rsidRPr="00545035">
        <w:rPr>
          <w:u w:val="single"/>
          <w:shd w:val="clear" w:color="auto" w:fill="DBE5F1" w:themeFill="accent1" w:themeFillTint="33"/>
        </w:rPr>
        <w:t>.</w:t>
      </w:r>
    </w:p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 w:rsidRPr="00545035">
        <w:rPr>
          <w:u w:val="single"/>
          <w:shd w:val="clear" w:color="auto" w:fill="DBE5F1" w:themeFill="accent1" w:themeFillTint="33"/>
        </w:rPr>
        <w:t>до «</w:t>
      </w:r>
      <w:r w:rsidR="009158D3">
        <w:rPr>
          <w:u w:val="single"/>
          <w:shd w:val="clear" w:color="auto" w:fill="DBE5F1" w:themeFill="accent1" w:themeFillTint="33"/>
        </w:rPr>
        <w:t>29</w:t>
      </w:r>
      <w:r w:rsidRPr="00545035">
        <w:rPr>
          <w:u w:val="single"/>
          <w:shd w:val="clear" w:color="auto" w:fill="DBE5F1" w:themeFill="accent1" w:themeFillTint="33"/>
        </w:rPr>
        <w:t>»</w:t>
      </w:r>
      <w:r w:rsidR="00545035" w:rsidRPr="00545035">
        <w:rPr>
          <w:u w:val="single"/>
          <w:shd w:val="clear" w:color="auto" w:fill="DBE5F1" w:themeFill="accent1" w:themeFillTint="33"/>
        </w:rPr>
        <w:t xml:space="preserve"> февраля </w:t>
      </w:r>
      <w:r w:rsidRPr="00545035">
        <w:rPr>
          <w:u w:val="single"/>
          <w:shd w:val="clear" w:color="auto" w:fill="DBE5F1" w:themeFill="accent1" w:themeFillTint="33"/>
        </w:rPr>
        <w:t>20</w:t>
      </w:r>
      <w:r w:rsidR="00545035" w:rsidRPr="00545035">
        <w:rPr>
          <w:u w:val="single"/>
          <w:shd w:val="clear" w:color="auto" w:fill="DBE5F1" w:themeFill="accent1" w:themeFillTint="33"/>
        </w:rPr>
        <w:t>2</w:t>
      </w:r>
      <w:r w:rsidR="009158D3">
        <w:rPr>
          <w:u w:val="single"/>
          <w:shd w:val="clear" w:color="auto" w:fill="DBE5F1" w:themeFill="accent1" w:themeFillTint="33"/>
        </w:rPr>
        <w:t>4</w:t>
      </w:r>
      <w:r w:rsidRPr="00545035">
        <w:rPr>
          <w:u w:val="single"/>
          <w:shd w:val="clear" w:color="auto" w:fill="DBE5F1" w:themeFill="accent1" w:themeFillTint="33"/>
        </w:rPr>
        <w:t xml:space="preserve"> года</w:t>
      </w:r>
      <w:r w:rsidRPr="005C13A2">
        <w:t>.</w:t>
      </w:r>
      <w:r w:rsidR="003F5955">
        <w:rPr>
          <w:rStyle w:val="a9"/>
        </w:rPr>
        <w:footnoteReference w:id="2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545035">
        <w:rPr>
          <w:u w:val="single"/>
          <w:shd w:val="clear" w:color="auto" w:fill="DBE5F1" w:themeFill="accent1" w:themeFillTint="33"/>
        </w:rPr>
        <w:t>возможно</w:t>
      </w:r>
    </w:p>
    <w:p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545035">
        <w:rPr>
          <w:rStyle w:val="FontStyle128"/>
          <w:b/>
          <w:color w:val="auto"/>
          <w:sz w:val="24"/>
          <w:szCs w:val="24"/>
          <w:lang w:eastAsia="en-US"/>
        </w:rPr>
        <w:t>н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е установлено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договора и/или возврата аванса и/или гарантийных обязательств:</w:t>
      </w:r>
      <w:r w:rsidR="00545035">
        <w:t xml:space="preserve"> </w:t>
      </w:r>
      <w:r w:rsidR="00545035" w:rsidRPr="00545035">
        <w:t>в соответствии с разделом </w:t>
      </w:r>
      <w:r w:rsidR="00545035">
        <w:t>7</w:t>
      </w:r>
      <w:r w:rsidR="00545035" w:rsidRPr="00545035">
        <w:t xml:space="preserve"> «</w:t>
      </w:r>
      <w:r w:rsidR="00545035">
        <w:t>Проект договора</w:t>
      </w:r>
      <w:r w:rsidR="00545035" w:rsidRPr="00545035">
        <w:t>» Закупочной документации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Валюта закупки:</w:t>
      </w:r>
      <w:r w:rsidR="00545035">
        <w:rPr>
          <w:rStyle w:val="FontStyle128"/>
          <w:sz w:val="24"/>
          <w:szCs w:val="24"/>
        </w:rPr>
        <w:t xml:space="preserve"> Рубль, РФ.</w:t>
      </w:r>
    </w:p>
    <w:p w:rsidR="008504D2" w:rsidRPr="00545035" w:rsidRDefault="000349B4" w:rsidP="008504D2">
      <w:pPr>
        <w:pStyle w:val="aff4"/>
        <w:spacing w:before="60" w:after="60"/>
        <w:ind w:left="851"/>
        <w:contextualSpacing w:val="0"/>
        <w:jc w:val="both"/>
      </w:pPr>
      <w:r w:rsidRPr="00545035">
        <w:t xml:space="preserve">Возможность представления заявки, где ценовое предложение выражено </w:t>
      </w:r>
      <w:r w:rsidR="001B5B8C" w:rsidRPr="00545035">
        <w:t>в отличной от указанной выше, в том числе иностранной,</w:t>
      </w:r>
      <w:r w:rsidRPr="00545035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545035">
        <w:rPr>
          <w:u w:val="single"/>
          <w:shd w:val="clear" w:color="auto" w:fill="DBE5F1" w:themeFill="accent1" w:themeFillTint="33"/>
        </w:rPr>
        <w:t>не допускаетс</w:t>
      </w:r>
      <w:r w:rsidR="00545035" w:rsidRPr="00545035">
        <w:rPr>
          <w:u w:val="single"/>
          <w:shd w:val="clear" w:color="auto" w:fill="DBE5F1" w:themeFill="accent1" w:themeFillTint="33"/>
        </w:rPr>
        <w:t>я</w:t>
      </w:r>
    </w:p>
    <w:p w:rsidR="001B3C23" w:rsidRPr="00B2673D" w:rsidRDefault="00625762" w:rsidP="0054503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  <w:i/>
          <w:color w:val="4F81BD" w:themeColor="accent1"/>
        </w:rPr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545035" w:rsidRPr="00545035">
        <w:t>в соответствии с разделом 6 «Техническая часть» Закупочной документации</w:t>
      </w:r>
      <w:r w:rsidR="00545035">
        <w:t>.</w:t>
      </w:r>
    </w:p>
    <w:p w:rsidR="001B3C23" w:rsidRPr="00B2673D" w:rsidRDefault="001B3C23" w:rsidP="00545035">
      <w:pPr>
        <w:pStyle w:val="aff4"/>
        <w:ind w:left="851"/>
        <w:jc w:val="both"/>
      </w:pPr>
      <w:r w:rsidRPr="00545035">
        <w:rPr>
          <w:b/>
        </w:rPr>
        <w:t xml:space="preserve">Привлечение субподрядчиков (соисполнителей) из числа субъектов малого и среднего предпринимательства: </w:t>
      </w:r>
      <w:r w:rsidRPr="00545035">
        <w:t>не требуется</w:t>
      </w:r>
      <w:r w:rsidR="00545035">
        <w:t>.</w:t>
      </w:r>
    </w:p>
    <w:p w:rsidR="00625762" w:rsidRPr="00B2673D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Возможность подачи альтернативных предложений:</w:t>
      </w:r>
      <w:r w:rsidR="00545035">
        <w:rPr>
          <w:rStyle w:val="FontStyle128"/>
          <w:sz w:val="24"/>
          <w:szCs w:val="24"/>
        </w:rPr>
        <w:t xml:space="preserve"> </w:t>
      </w:r>
      <w:r w:rsidR="00545035" w:rsidRPr="00545035">
        <w:t>в соответствии с разделом 6 «Техническая часть» Закупочной документации</w:t>
      </w:r>
      <w:r w:rsidR="00545035">
        <w:t>.</w:t>
      </w:r>
    </w:p>
    <w:p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1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545035" w:rsidRDefault="006A4669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A4669">
        <w:rPr>
          <w:b/>
        </w:rPr>
        <w:t xml:space="preserve">Способ формирования начальной максимальной цены (НМЦ): </w:t>
      </w:r>
      <w:r w:rsidR="009158D3" w:rsidRPr="009158D3">
        <w:t>Лот 1: Государственное и/или отраслевое регулирование цен (тарифов)</w:t>
      </w:r>
      <w:r w:rsidR="00545035" w:rsidRPr="00545035">
        <w:t>.</w:t>
      </w:r>
    </w:p>
    <w:p w:rsidR="006A4669" w:rsidRPr="00B2673D" w:rsidRDefault="006A4669" w:rsidP="006A4669">
      <w:pPr>
        <w:pStyle w:val="aff4"/>
        <w:spacing w:before="60" w:after="60"/>
        <w:ind w:left="851"/>
        <w:contextualSpacing w:val="0"/>
        <w:jc w:val="both"/>
        <w:outlineLvl w:val="0"/>
      </w:pP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  <w:bookmarkStart w:id="8" w:name="_GoBack"/>
      <w:bookmarkEnd w:id="8"/>
    </w:p>
    <w:sectPr w:rsidR="00B2673D" w:rsidRPr="00830285" w:rsidSect="003A31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CA5" w:rsidRDefault="007A3CA5">
      <w:r>
        <w:separator/>
      </w:r>
    </w:p>
  </w:endnote>
  <w:endnote w:type="continuationSeparator" w:id="0">
    <w:p w:rsidR="007A3CA5" w:rsidRDefault="007A3CA5">
      <w:r>
        <w:continuationSeparator/>
      </w:r>
    </w:p>
  </w:endnote>
  <w:endnote w:type="continuationNotice" w:id="1">
    <w:p w:rsidR="007A3CA5" w:rsidRDefault="007A3CA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Gabriola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CA5" w:rsidRDefault="007A3CA5">
      <w:r>
        <w:separator/>
      </w:r>
    </w:p>
  </w:footnote>
  <w:footnote w:type="continuationSeparator" w:id="0">
    <w:p w:rsidR="007A3CA5" w:rsidRDefault="007A3CA5">
      <w:r>
        <w:continuationSeparator/>
      </w:r>
    </w:p>
  </w:footnote>
  <w:footnote w:type="continuationNotice" w:id="1">
    <w:p w:rsidR="007A3CA5" w:rsidRDefault="007A3CA5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50149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B3C23"/>
    <w:rsid w:val="001B5B8C"/>
    <w:rsid w:val="001B6E02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1922"/>
    <w:rsid w:val="00282789"/>
    <w:rsid w:val="00287259"/>
    <w:rsid w:val="00287C63"/>
    <w:rsid w:val="002A3D20"/>
    <w:rsid w:val="002A48AF"/>
    <w:rsid w:val="002A4ECB"/>
    <w:rsid w:val="002B658F"/>
    <w:rsid w:val="002C6B5F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949A9"/>
    <w:rsid w:val="003A3180"/>
    <w:rsid w:val="003C4160"/>
    <w:rsid w:val="003D5326"/>
    <w:rsid w:val="003D6358"/>
    <w:rsid w:val="003E4931"/>
    <w:rsid w:val="003E4E76"/>
    <w:rsid w:val="003F5955"/>
    <w:rsid w:val="004224A9"/>
    <w:rsid w:val="004244EA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45035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6198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158D3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71D34A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uiPriority w:val="39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  <w:style w:type="paragraph" w:customStyle="1" w:styleId="xl82">
    <w:name w:val="xl82"/>
    <w:basedOn w:val="a1"/>
    <w:rsid w:val="004244EA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i/>
      <w:iCs/>
      <w:snapToGrid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ao-zakupki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larina_ys@interrao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nterrao-zakupki.ru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13021-793B-473A-BE65-A4471931D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1324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Ларина Юлия Сергеевна</cp:lastModifiedBy>
  <cp:revision>29</cp:revision>
  <cp:lastPrinted>2012-02-06T04:25:00Z</cp:lastPrinted>
  <dcterms:created xsi:type="dcterms:W3CDTF">2015-06-03T11:24:00Z</dcterms:created>
  <dcterms:modified xsi:type="dcterms:W3CDTF">2023-12-14T08:25:00Z</dcterms:modified>
</cp:coreProperties>
</file>