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C83BC" w14:textId="25504BF6" w:rsidR="00F72E35" w:rsidRDefault="00735297">
      <w:pPr>
        <w:jc w:val="center"/>
      </w:pPr>
      <w:r>
        <w:rPr>
          <w:b/>
          <w:sz w:val="32"/>
          <w:szCs w:val="32"/>
        </w:rPr>
        <w:t>Техническое задание</w:t>
      </w:r>
    </w:p>
    <w:p w14:paraId="7FD6AD64" w14:textId="4DBB83F2" w:rsidR="00F72E35" w:rsidRDefault="00735297" w:rsidP="00677EC0">
      <w:pPr>
        <w:ind w:right="1"/>
        <w:jc w:val="center"/>
      </w:pPr>
      <w:r>
        <w:t xml:space="preserve">на </w:t>
      </w:r>
      <w:r w:rsidR="00AF1100">
        <w:t>выполнение работ</w:t>
      </w:r>
      <w:r>
        <w:t xml:space="preserve"> «</w:t>
      </w:r>
      <w:r w:rsidR="00AF1100">
        <w:t>С</w:t>
      </w:r>
      <w:r w:rsidR="00AF1100" w:rsidRPr="00AF1100">
        <w:t>оздани</w:t>
      </w:r>
      <w:r w:rsidR="00AF1100">
        <w:t>е</w:t>
      </w:r>
      <w:r w:rsidR="00AF1100" w:rsidRPr="00AF1100">
        <w:t xml:space="preserve"> системы контроля управления доступом в центральном офисе и клиентских отделениях</w:t>
      </w:r>
      <w:r>
        <w:t>»</w:t>
      </w:r>
    </w:p>
    <w:p w14:paraId="69C6DD52" w14:textId="77777777" w:rsidR="00F72E35" w:rsidRDefault="00F72E35">
      <w:pPr>
        <w:ind w:firstLine="720"/>
        <w:jc w:val="both"/>
      </w:pPr>
    </w:p>
    <w:p w14:paraId="0D2586B5" w14:textId="2EFA322A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НАИМЕНОВАНИЕ </w:t>
      </w:r>
      <w:r w:rsidR="00093439">
        <w:rPr>
          <w:b/>
        </w:rPr>
        <w:t xml:space="preserve">РАБОТ </w:t>
      </w:r>
      <w:r>
        <w:rPr>
          <w:b/>
        </w:rPr>
        <w:t xml:space="preserve">(НОМЕНКЛАТУРА) И ПЕРЕЧЕНЬ ОБЪЕКТОВ, НА КОТОРЫХ БУДУТ </w:t>
      </w:r>
      <w:r w:rsidR="00FD34B9">
        <w:rPr>
          <w:b/>
        </w:rPr>
        <w:t>ВЫПОЛНЯТЬСЯ РАБОТЫ</w:t>
      </w:r>
      <w:r>
        <w:t xml:space="preserve"> </w:t>
      </w:r>
    </w:p>
    <w:p w14:paraId="73AD8127" w14:textId="4F6353AB" w:rsidR="00F72E35" w:rsidRDefault="00093439">
      <w:pPr>
        <w:pStyle w:val="af8"/>
        <w:spacing w:before="0" w:after="0"/>
        <w:ind w:left="567"/>
        <w:jc w:val="both"/>
        <w:rPr>
          <w:b/>
        </w:rPr>
      </w:pPr>
      <w:r>
        <w:t>Выполнение работ</w:t>
      </w:r>
      <w:r w:rsidR="00735297">
        <w:t xml:space="preserve"> включает:</w:t>
      </w:r>
    </w:p>
    <w:p w14:paraId="6240A63C" w14:textId="2831D7DC" w:rsidR="00F72E35" w:rsidRDefault="00F20584" w:rsidP="00C13371">
      <w:pPr>
        <w:pStyle w:val="af8"/>
        <w:numPr>
          <w:ilvl w:val="1"/>
          <w:numId w:val="35"/>
        </w:numPr>
        <w:spacing w:before="0" w:after="0"/>
        <w:ind w:left="0" w:firstLine="0"/>
        <w:jc w:val="both"/>
        <w:rPr>
          <w:lang w:eastAsia="zh-CN"/>
        </w:rPr>
      </w:pPr>
      <w:r w:rsidRPr="00F20584">
        <w:rPr>
          <w:lang w:eastAsia="zh-CN"/>
        </w:rPr>
        <w:t xml:space="preserve">Подрядчик обязуется в установленный настоящим </w:t>
      </w:r>
      <w:r>
        <w:rPr>
          <w:lang w:eastAsia="zh-CN"/>
        </w:rPr>
        <w:t>Техническим заданием</w:t>
      </w:r>
      <w:r w:rsidRPr="00F20584">
        <w:rPr>
          <w:lang w:eastAsia="zh-CN"/>
        </w:rPr>
        <w:t xml:space="preserve"> срок выполнить работы по созданию системы контроля управления доступом</w:t>
      </w:r>
      <w:r w:rsidR="00AF1100">
        <w:rPr>
          <w:lang w:eastAsia="zh-CN"/>
        </w:rPr>
        <w:t xml:space="preserve"> (далее СКУД)</w:t>
      </w:r>
      <w:r w:rsidRPr="00F20584">
        <w:rPr>
          <w:lang w:eastAsia="zh-CN"/>
        </w:rPr>
        <w:t xml:space="preserve"> в центральном офисе и клиентских отделениях</w:t>
      </w:r>
      <w:r>
        <w:rPr>
          <w:lang w:eastAsia="zh-CN"/>
        </w:rPr>
        <w:t xml:space="preserve"> АО «Петербургская сбытовая компания»</w:t>
      </w:r>
      <w:r w:rsidR="00AF1100">
        <w:rPr>
          <w:lang w:eastAsia="zh-CN"/>
        </w:rPr>
        <w:t xml:space="preserve"> в соответствии с условиями договора</w:t>
      </w:r>
      <w:r w:rsidR="00735297">
        <w:rPr>
          <w:lang w:eastAsia="zh-CN"/>
        </w:rPr>
        <w:t>.</w:t>
      </w:r>
    </w:p>
    <w:p w14:paraId="69DE696B" w14:textId="235BC1B3" w:rsidR="00F72E35" w:rsidRDefault="00735297">
      <w:pPr>
        <w:pStyle w:val="af8"/>
        <w:spacing w:before="0"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Перечень систем, объектов</w:t>
      </w:r>
      <w:r w:rsidR="00AF1100">
        <w:rPr>
          <w:color w:val="000000" w:themeColor="text1"/>
        </w:rPr>
        <w:t xml:space="preserve">, подлежащих оснащению СКУД </w:t>
      </w:r>
      <w:r>
        <w:rPr>
          <w:color w:val="000000" w:themeColor="text1"/>
        </w:rPr>
        <w:t>указан в Приложении № 2 к настоящему Техническому заданию (далее – ТЗ).</w:t>
      </w:r>
    </w:p>
    <w:p w14:paraId="147F1F64" w14:textId="77777777" w:rsidR="00F72E35" w:rsidRDefault="00F72E35">
      <w:pPr>
        <w:pStyle w:val="af8"/>
        <w:spacing w:before="0" w:after="0"/>
        <w:ind w:firstLine="567"/>
        <w:jc w:val="both"/>
        <w:rPr>
          <w:color w:val="000000" w:themeColor="text1"/>
        </w:rPr>
      </w:pPr>
    </w:p>
    <w:p w14:paraId="6BE3F9EB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ОБЩИЕ ТРЕБОВАНИЯ</w:t>
      </w:r>
    </w:p>
    <w:p w14:paraId="23F7AE39" w14:textId="4A160199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</w:pPr>
      <w:r>
        <w:rPr>
          <w:b/>
        </w:rPr>
        <w:t xml:space="preserve">Основание для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6FE3924D" w14:textId="445A5687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 w:rsidRPr="00FD34B9">
        <w:rPr>
          <w:lang w:eastAsia="ru-RU"/>
        </w:rPr>
        <w:t>Указ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</w:t>
      </w:r>
      <w:r w:rsidR="00735297">
        <w:rPr>
          <w:lang w:eastAsia="ru-RU"/>
        </w:rPr>
        <w:t>;</w:t>
      </w:r>
    </w:p>
    <w:p w14:paraId="08708CC3" w14:textId="12B0D8A5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>
        <w:rPr>
          <w:lang w:eastAsia="ru-RU"/>
        </w:rPr>
        <w:t>Ф</w:t>
      </w:r>
      <w:r w:rsidRPr="00FD34B9">
        <w:rPr>
          <w:lang w:eastAsia="ru-RU"/>
        </w:rPr>
        <w:t>едеральн</w:t>
      </w:r>
      <w:r>
        <w:rPr>
          <w:lang w:eastAsia="ru-RU"/>
        </w:rPr>
        <w:t>ый</w:t>
      </w:r>
      <w:r w:rsidRPr="00FD34B9">
        <w:rPr>
          <w:lang w:eastAsia="ru-RU"/>
        </w:rPr>
        <w:t xml:space="preserve"> закон от 21 декабря 1994 г. № 68-ФЗ «О защите населения и территорий от чрезвычайных ситуаций природного и техногенного характера»</w:t>
      </w:r>
      <w:r w:rsidR="00735297">
        <w:rPr>
          <w:lang w:eastAsia="ru-RU"/>
        </w:rPr>
        <w:t>;</w:t>
      </w:r>
    </w:p>
    <w:p w14:paraId="60D4C0D2" w14:textId="07BE3425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Требования к срокам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5CF62A07" w14:textId="308D9BDE" w:rsidR="00F72E35" w:rsidRDefault="00735297">
      <w:pPr>
        <w:ind w:firstLine="567"/>
        <w:jc w:val="both"/>
        <w:rPr>
          <w:bCs/>
          <w:iCs/>
        </w:rPr>
      </w:pPr>
      <w:r>
        <w:t xml:space="preserve">Начало </w:t>
      </w:r>
      <w:r w:rsidR="00093439">
        <w:t>выполнения работ</w:t>
      </w:r>
      <w:r>
        <w:t xml:space="preserve"> </w:t>
      </w:r>
      <w:r w:rsidR="00093439">
        <w:t xml:space="preserve">- </w:t>
      </w:r>
      <w:r>
        <w:t>с даты заключения договора.</w:t>
      </w:r>
    </w:p>
    <w:p w14:paraId="6AB74467" w14:textId="43A157D5" w:rsidR="00F72E35" w:rsidRDefault="00735297">
      <w:pPr>
        <w:ind w:firstLine="567"/>
        <w:jc w:val="both"/>
      </w:pPr>
      <w:r>
        <w:rPr>
          <w:bCs/>
          <w:iCs/>
        </w:rPr>
        <w:t xml:space="preserve">Окончание </w:t>
      </w:r>
      <w:r w:rsidR="00093439">
        <w:rPr>
          <w:bCs/>
          <w:iCs/>
        </w:rPr>
        <w:t>выполнения работ</w:t>
      </w:r>
      <w:r>
        <w:rPr>
          <w:bCs/>
          <w:iCs/>
        </w:rPr>
        <w:t xml:space="preserve"> </w:t>
      </w:r>
      <w:r w:rsidR="00093439">
        <w:rPr>
          <w:bCs/>
          <w:iCs/>
        </w:rPr>
        <w:t>-</w:t>
      </w:r>
      <w:r w:rsidR="00093439">
        <w:t xml:space="preserve"> </w:t>
      </w:r>
      <w:r w:rsidR="00C13371">
        <w:t>31</w:t>
      </w:r>
      <w:r w:rsidR="00FD34B9">
        <w:t xml:space="preserve"> декабря 2023</w:t>
      </w:r>
      <w:r>
        <w:t>.</w:t>
      </w:r>
    </w:p>
    <w:p w14:paraId="13C818E9" w14:textId="67F15323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Нормативные требования к качеству </w:t>
      </w:r>
      <w:r w:rsidR="00FD34B9">
        <w:rPr>
          <w:b/>
        </w:rPr>
        <w:t>работ</w:t>
      </w:r>
      <w:r>
        <w:rPr>
          <w:b/>
        </w:rPr>
        <w:t>, их результату.</w:t>
      </w:r>
    </w:p>
    <w:p w14:paraId="6F4F4A23" w14:textId="77777777" w:rsidR="00FD34B9" w:rsidRPr="00EC2A76" w:rsidRDefault="00FD34B9" w:rsidP="00505AB6">
      <w:pPr>
        <w:suppressAutoHyphens/>
        <w:ind w:firstLine="584"/>
        <w:jc w:val="both"/>
        <w:rPr>
          <w:szCs w:val="20"/>
        </w:rPr>
      </w:pPr>
      <w:r w:rsidRPr="00EC2A76">
        <w:rPr>
          <w:szCs w:val="20"/>
        </w:rPr>
        <w:t>Разработка СКУД должна выполняться с учётом следующих документов:</w:t>
      </w:r>
    </w:p>
    <w:p w14:paraId="4FDC0B30" w14:textId="6C64D046" w:rsidR="00FD34B9" w:rsidRPr="00677EC0" w:rsidRDefault="001F48EE" w:rsidP="00505AB6">
      <w:pPr>
        <w:pStyle w:val="af8"/>
        <w:numPr>
          <w:ilvl w:val="0"/>
          <w:numId w:val="40"/>
        </w:numPr>
        <w:tabs>
          <w:tab w:val="left" w:pos="1134"/>
        </w:tabs>
        <w:suppressAutoHyphens/>
        <w:spacing w:before="0" w:after="0"/>
        <w:ind w:left="0" w:firstLine="567"/>
        <w:jc w:val="both"/>
        <w:rPr>
          <w:szCs w:val="20"/>
        </w:rPr>
      </w:pPr>
      <w:hyperlink r:id="rId8" w:history="1">
        <w:r w:rsidR="00FD34B9" w:rsidRPr="00677EC0">
          <w:rPr>
            <w:szCs w:val="20"/>
          </w:rPr>
          <w:t>Р 064-2017</w:t>
        </w:r>
      </w:hyperlink>
      <w:r w:rsidR="00FD34B9" w:rsidRPr="00677EC0">
        <w:rPr>
          <w:szCs w:val="20"/>
        </w:rPr>
        <w:t xml:space="preserve"> «Методические рекомендации. Выбор и применение технических средств и систем контроля, и управления доступом»;</w:t>
      </w:r>
    </w:p>
    <w:p w14:paraId="47A60E9F" w14:textId="77777777" w:rsidR="00FD34B9" w:rsidRPr="00677EC0" w:rsidRDefault="00FD34B9" w:rsidP="00505AB6">
      <w:pPr>
        <w:pStyle w:val="af8"/>
        <w:numPr>
          <w:ilvl w:val="0"/>
          <w:numId w:val="40"/>
        </w:numPr>
        <w:tabs>
          <w:tab w:val="left" w:pos="1134"/>
        </w:tabs>
        <w:suppressAutoHyphens/>
        <w:spacing w:before="0" w:after="0"/>
        <w:ind w:left="0" w:firstLine="567"/>
        <w:jc w:val="both"/>
        <w:rPr>
          <w:szCs w:val="20"/>
        </w:rPr>
      </w:pPr>
      <w:r w:rsidRPr="00677EC0">
        <w:rPr>
          <w:szCs w:val="20"/>
        </w:rP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488BCFF7" w14:textId="77777777" w:rsidR="00FD34B9" w:rsidRPr="00677EC0" w:rsidRDefault="00FD34B9" w:rsidP="00505AB6">
      <w:pPr>
        <w:pStyle w:val="af8"/>
        <w:numPr>
          <w:ilvl w:val="0"/>
          <w:numId w:val="40"/>
        </w:numPr>
        <w:tabs>
          <w:tab w:val="left" w:pos="1134"/>
        </w:tabs>
        <w:suppressAutoHyphens/>
        <w:spacing w:before="0" w:after="0"/>
        <w:ind w:left="0" w:firstLine="567"/>
        <w:jc w:val="both"/>
        <w:rPr>
          <w:szCs w:val="20"/>
        </w:rPr>
      </w:pPr>
      <w:r w:rsidRPr="00677EC0">
        <w:rPr>
          <w:szCs w:val="20"/>
        </w:rPr>
        <w:t>ГОСТ Р 21.101-2020 «Система проектной документации для строительства. Основные требования к проектной и рабочей документации»;</w:t>
      </w:r>
    </w:p>
    <w:p w14:paraId="36B60747" w14:textId="5A41D2C0" w:rsidR="00FD34B9" w:rsidRPr="00677EC0" w:rsidRDefault="00FD34B9" w:rsidP="00505AB6">
      <w:pPr>
        <w:pStyle w:val="af8"/>
        <w:numPr>
          <w:ilvl w:val="0"/>
          <w:numId w:val="40"/>
        </w:numPr>
        <w:tabs>
          <w:tab w:val="left" w:pos="1134"/>
        </w:tabs>
        <w:suppressAutoHyphens/>
        <w:spacing w:before="0" w:after="0"/>
        <w:ind w:left="0" w:firstLine="567"/>
        <w:jc w:val="both"/>
        <w:rPr>
          <w:szCs w:val="20"/>
        </w:rPr>
      </w:pPr>
      <w:r w:rsidRPr="00677EC0">
        <w:rPr>
          <w:szCs w:val="20"/>
        </w:rPr>
        <w:t xml:space="preserve">Федеральный закон от 22 июля 2008 г. №123-ФЗ </w:t>
      </w:r>
      <w:r w:rsidR="00505AB6">
        <w:rPr>
          <w:szCs w:val="20"/>
        </w:rPr>
        <w:t>«</w:t>
      </w:r>
      <w:r w:rsidRPr="00677EC0">
        <w:rPr>
          <w:szCs w:val="20"/>
        </w:rPr>
        <w:t>Технический регламент о требованиях пожарной безопасности</w:t>
      </w:r>
      <w:r w:rsidR="00505AB6">
        <w:rPr>
          <w:szCs w:val="20"/>
        </w:rPr>
        <w:t>»</w:t>
      </w:r>
      <w:r w:rsidRPr="00677EC0">
        <w:rPr>
          <w:szCs w:val="20"/>
        </w:rPr>
        <w:t>.</w:t>
      </w:r>
    </w:p>
    <w:p w14:paraId="004212C0" w14:textId="77777777" w:rsidR="00FD34B9" w:rsidRPr="00677EC0" w:rsidRDefault="001F48EE" w:rsidP="00505AB6">
      <w:pPr>
        <w:pStyle w:val="af8"/>
        <w:numPr>
          <w:ilvl w:val="0"/>
          <w:numId w:val="40"/>
        </w:numPr>
        <w:tabs>
          <w:tab w:val="left" w:pos="1134"/>
        </w:tabs>
        <w:suppressAutoHyphens/>
        <w:spacing w:before="0" w:after="0"/>
        <w:ind w:left="0" w:firstLine="567"/>
        <w:jc w:val="both"/>
        <w:rPr>
          <w:szCs w:val="20"/>
        </w:rPr>
      </w:pPr>
      <w:hyperlink r:id="rId9" w:history="1">
        <w:r w:rsidR="00FD34B9" w:rsidRPr="00677EC0">
          <w:rPr>
            <w:szCs w:val="20"/>
          </w:rPr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FD34B9" w:rsidRPr="00677EC0">
        <w:rPr>
          <w:szCs w:val="20"/>
        </w:rPr>
        <w:t>.</w:t>
      </w:r>
    </w:p>
    <w:p w14:paraId="2356758F" w14:textId="6A32A1B1" w:rsidR="00F72E35" w:rsidRDefault="00735297" w:rsidP="00677EC0">
      <w:pPr>
        <w:pStyle w:val="af8"/>
        <w:keepNext/>
        <w:keepLines/>
        <w:numPr>
          <w:ilvl w:val="0"/>
          <w:numId w:val="26"/>
        </w:numPr>
        <w:spacing w:before="240" w:after="0"/>
        <w:ind w:left="0" w:firstLine="567"/>
        <w:jc w:val="both"/>
        <w:rPr>
          <w:b/>
        </w:rPr>
      </w:pPr>
      <w:r>
        <w:rPr>
          <w:b/>
        </w:rPr>
        <w:t xml:space="preserve">ТРЕБОВАНИЯ К </w:t>
      </w:r>
      <w:r w:rsidR="00C13371">
        <w:rPr>
          <w:b/>
        </w:rPr>
        <w:t>ВЫПОЛНЕНИЮ РАБОТ</w:t>
      </w:r>
    </w:p>
    <w:p w14:paraId="5E1A75B3" w14:textId="77777777" w:rsidR="005E29D9" w:rsidRDefault="005E29D9" w:rsidP="009E0D09">
      <w:pPr>
        <w:pStyle w:val="af8"/>
        <w:numPr>
          <w:ilvl w:val="1"/>
          <w:numId w:val="26"/>
        </w:numPr>
        <w:spacing w:before="0" w:after="0"/>
        <w:ind w:left="0" w:firstLine="568"/>
        <w:rPr>
          <w:b/>
        </w:rPr>
      </w:pPr>
      <w:r w:rsidRPr="005E29D9">
        <w:rPr>
          <w:b/>
        </w:rPr>
        <w:t xml:space="preserve">Требования к </w:t>
      </w:r>
      <w:r>
        <w:rPr>
          <w:b/>
        </w:rPr>
        <w:t>объему выполняемых работ</w:t>
      </w:r>
    </w:p>
    <w:p w14:paraId="7686D2DD" w14:textId="668BB44F" w:rsidR="005E29D9" w:rsidRPr="005B5CA8" w:rsidRDefault="005E29D9" w:rsidP="005E29D9">
      <w:pPr>
        <w:pStyle w:val="af8"/>
        <w:numPr>
          <w:ilvl w:val="2"/>
          <w:numId w:val="26"/>
        </w:numPr>
        <w:spacing w:before="0" w:after="0"/>
        <w:ind w:left="0" w:firstLine="567"/>
        <w:jc w:val="both"/>
        <w:rPr>
          <w:b/>
        </w:rPr>
      </w:pPr>
      <w:r>
        <w:t>Участник</w:t>
      </w:r>
      <w:r w:rsidRPr="00C13371">
        <w:t xml:space="preserve"> должен выполнить работы, указанные в пункте 1 ТЗ, на объектах Заказчика в соответствии с Заданием Заказчика (Приложение №1), Приложением № 2 к ТЗ, а также технической документацией на </w:t>
      </w:r>
      <w:r>
        <w:t>оборудование</w:t>
      </w:r>
      <w:r w:rsidRPr="00C13371">
        <w:t>.</w:t>
      </w:r>
    </w:p>
    <w:p w14:paraId="08F48C87" w14:textId="72971039" w:rsidR="005E29D9" w:rsidRDefault="005E29D9" w:rsidP="009E0D09">
      <w:pPr>
        <w:pStyle w:val="af8"/>
        <w:numPr>
          <w:ilvl w:val="1"/>
          <w:numId w:val="26"/>
        </w:numPr>
        <w:spacing w:before="0" w:after="0"/>
        <w:ind w:left="0" w:firstLine="568"/>
        <w:jc w:val="both"/>
        <w:rPr>
          <w:b/>
        </w:rPr>
      </w:pPr>
      <w:r>
        <w:rPr>
          <w:b/>
        </w:rPr>
        <w:t>Требования к последовательности выполнения работ</w:t>
      </w:r>
    </w:p>
    <w:p w14:paraId="2856609B" w14:textId="15525E54" w:rsidR="005E29D9" w:rsidRPr="005E29D9" w:rsidRDefault="005E29D9" w:rsidP="00677EC0">
      <w:pPr>
        <w:pStyle w:val="af8"/>
        <w:numPr>
          <w:ilvl w:val="2"/>
          <w:numId w:val="26"/>
        </w:numPr>
        <w:spacing w:before="0" w:after="0"/>
        <w:ind w:left="1418" w:hanging="851"/>
        <w:jc w:val="both"/>
      </w:pPr>
      <w:r w:rsidRPr="005E29D9">
        <w:t>В соответствии с разделом 4 Задания Заказчика (Приложение №1).</w:t>
      </w:r>
    </w:p>
    <w:p w14:paraId="1441C244" w14:textId="6ED2DF7A" w:rsidR="00B510B3" w:rsidRDefault="00B510B3" w:rsidP="00677EC0">
      <w:pPr>
        <w:pStyle w:val="af8"/>
        <w:numPr>
          <w:ilvl w:val="1"/>
          <w:numId w:val="26"/>
        </w:numPr>
        <w:spacing w:before="0" w:after="0"/>
        <w:ind w:left="426" w:firstLine="141"/>
        <w:rPr>
          <w:b/>
        </w:rPr>
      </w:pPr>
      <w:r w:rsidRPr="00B510B3">
        <w:rPr>
          <w:b/>
        </w:rPr>
        <w:t xml:space="preserve">Требования к </w:t>
      </w:r>
      <w:r w:rsidR="005E29D9">
        <w:rPr>
          <w:b/>
        </w:rPr>
        <w:t>организации обеспечения работ</w:t>
      </w:r>
    </w:p>
    <w:p w14:paraId="2AD44CA6" w14:textId="69C602C3" w:rsidR="00640D9A" w:rsidRPr="00640D9A" w:rsidRDefault="00640D9A" w:rsidP="00677EC0">
      <w:pPr>
        <w:pStyle w:val="af8"/>
        <w:numPr>
          <w:ilvl w:val="2"/>
          <w:numId w:val="26"/>
        </w:numPr>
        <w:spacing w:before="0" w:after="0"/>
        <w:ind w:left="0" w:firstLine="567"/>
      </w:pPr>
      <w:r w:rsidRPr="00640D9A">
        <w:t xml:space="preserve">В соответствии с условиями </w:t>
      </w:r>
      <w:r w:rsidR="002B1E64">
        <w:t xml:space="preserve">проекта </w:t>
      </w:r>
      <w:r w:rsidRPr="00640D9A">
        <w:t>договора</w:t>
      </w:r>
      <w:r w:rsidR="00671B8E">
        <w:t>.</w:t>
      </w:r>
    </w:p>
    <w:p w14:paraId="5FAB1AE4" w14:textId="1F160680" w:rsidR="00F72E35" w:rsidRPr="00BC4CC6" w:rsidRDefault="00735297" w:rsidP="00677EC0">
      <w:pPr>
        <w:pStyle w:val="af8"/>
        <w:numPr>
          <w:ilvl w:val="1"/>
          <w:numId w:val="33"/>
        </w:numPr>
        <w:spacing w:before="0" w:after="0"/>
        <w:ind w:firstLine="207"/>
        <w:jc w:val="both"/>
        <w:rPr>
          <w:rFonts w:eastAsia="Cambria"/>
          <w:b/>
        </w:rPr>
      </w:pPr>
      <w:r w:rsidRPr="00BC4CC6">
        <w:rPr>
          <w:b/>
        </w:rPr>
        <w:t>Требования к применяемым материалам и оборудованию</w:t>
      </w:r>
    </w:p>
    <w:p w14:paraId="6C5E248A" w14:textId="0BBB6690" w:rsidR="00677EC0" w:rsidRPr="00FE0F55" w:rsidRDefault="00677EC0" w:rsidP="00677EC0">
      <w:pPr>
        <w:pStyle w:val="82"/>
        <w:spacing w:line="240" w:lineRule="auto"/>
        <w:ind w:firstLine="567"/>
        <w:rPr>
          <w:bCs w:val="0"/>
          <w:spacing w:val="0"/>
        </w:rPr>
      </w:pPr>
      <w:r w:rsidRPr="00DC3DB3">
        <w:rPr>
          <w:bCs w:val="0"/>
          <w:spacing w:val="0"/>
        </w:rPr>
        <w:t>3.4.1.</w:t>
      </w:r>
      <w:r w:rsidRPr="00DC3DB3">
        <w:rPr>
          <w:bCs w:val="0"/>
          <w:spacing w:val="0"/>
        </w:rPr>
        <w:tab/>
      </w:r>
      <w:r w:rsidR="00505AB6" w:rsidRPr="00DC3DB3">
        <w:rPr>
          <w:bCs w:val="0"/>
          <w:spacing w:val="0"/>
        </w:rPr>
        <w:t>Гарантийный срок от производителей контроллеров СКУД и считывателей должен</w:t>
      </w:r>
      <w:r w:rsidR="00505AB6" w:rsidRPr="00FE0F55">
        <w:rPr>
          <w:bCs w:val="0"/>
          <w:spacing w:val="0"/>
        </w:rPr>
        <w:t xml:space="preserve"> составлять не менее 18 месяцев с даты приемки товара по накладной. В составе 1 части заявки Участник должен представить документы производителей (паспорта, руководства по эксплуатации и пр.), подтверждающие требуемый гарантийный срок от производителя.</w:t>
      </w:r>
    </w:p>
    <w:p w14:paraId="228ABCD3" w14:textId="125511D1" w:rsidR="00671B8E" w:rsidRPr="00FE0F55" w:rsidRDefault="00677EC0" w:rsidP="00677EC0">
      <w:pPr>
        <w:pStyle w:val="82"/>
        <w:spacing w:line="240" w:lineRule="auto"/>
        <w:ind w:firstLine="567"/>
        <w:rPr>
          <w:bCs w:val="0"/>
          <w:spacing w:val="0"/>
        </w:rPr>
      </w:pPr>
      <w:r w:rsidRPr="00FE0F55">
        <w:rPr>
          <w:bCs w:val="0"/>
          <w:spacing w:val="0"/>
        </w:rPr>
        <w:t>3.4.2.</w:t>
      </w:r>
      <w:r w:rsidRPr="00FE0F55">
        <w:rPr>
          <w:bCs w:val="0"/>
          <w:spacing w:val="0"/>
        </w:rPr>
        <w:tab/>
      </w:r>
      <w:r w:rsidR="00640D9A" w:rsidRPr="00FE0F55">
        <w:rPr>
          <w:bCs w:val="0"/>
          <w:spacing w:val="0"/>
        </w:rPr>
        <w:t>В составе</w:t>
      </w:r>
      <w:r w:rsidR="003C0EAB" w:rsidRPr="00FE0F55">
        <w:rPr>
          <w:bCs w:val="0"/>
          <w:spacing w:val="0"/>
        </w:rPr>
        <w:t xml:space="preserve"> 1 части</w:t>
      </w:r>
      <w:r w:rsidR="00640D9A" w:rsidRPr="00FE0F55">
        <w:rPr>
          <w:bCs w:val="0"/>
          <w:spacing w:val="0"/>
        </w:rPr>
        <w:t xml:space="preserve"> заявки </w:t>
      </w:r>
      <w:r w:rsidR="00505AB6" w:rsidRPr="00FE0F55">
        <w:rPr>
          <w:bCs w:val="0"/>
          <w:spacing w:val="0"/>
        </w:rPr>
        <w:t>У</w:t>
      </w:r>
      <w:r w:rsidR="00640D9A" w:rsidRPr="00FE0F55">
        <w:rPr>
          <w:bCs w:val="0"/>
          <w:spacing w:val="0"/>
        </w:rPr>
        <w:t xml:space="preserve">частник должен подтвердить соответствие предлагаемой системы каждому из пунктов раздела 3.1 Приложения №1 Задание Заказчика. В качестве </w:t>
      </w:r>
      <w:r w:rsidR="00640D9A" w:rsidRPr="00FE0F55">
        <w:rPr>
          <w:bCs w:val="0"/>
          <w:spacing w:val="0"/>
        </w:rPr>
        <w:lastRenderedPageBreak/>
        <w:t xml:space="preserve">подтверждения принимаются, расчеты, структурные схемы, </w:t>
      </w:r>
      <w:r w:rsidRPr="00FE0F55">
        <w:rPr>
          <w:bCs w:val="0"/>
          <w:spacing w:val="0"/>
        </w:rPr>
        <w:t xml:space="preserve">документы и </w:t>
      </w:r>
      <w:r w:rsidR="00640D9A" w:rsidRPr="00FE0F55">
        <w:rPr>
          <w:bCs w:val="0"/>
          <w:spacing w:val="0"/>
        </w:rPr>
        <w:t>данные производителей оборудования, разработчиков программного обеспечения.</w:t>
      </w:r>
    </w:p>
    <w:p w14:paraId="44032F79" w14:textId="3EC236F0" w:rsidR="00640D9A" w:rsidRDefault="00640D9A" w:rsidP="00640D9A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t>3.4.</w:t>
      </w:r>
      <w:r w:rsidR="00677EC0">
        <w:rPr>
          <w:bCs w:val="0"/>
          <w:spacing w:val="0"/>
        </w:rPr>
        <w:t>3</w:t>
      </w:r>
      <w:r>
        <w:rPr>
          <w:bCs w:val="0"/>
          <w:spacing w:val="0"/>
        </w:rPr>
        <w:t>.</w:t>
      </w:r>
      <w:r>
        <w:rPr>
          <w:bCs w:val="0"/>
          <w:spacing w:val="0"/>
        </w:rPr>
        <w:tab/>
      </w:r>
      <w:r w:rsidR="00735297">
        <w:rPr>
          <w:bCs w:val="0"/>
          <w:spacing w:val="0"/>
        </w:rPr>
        <w:t>Все применяемые материалы, оборудование и инструменты должны</w:t>
      </w:r>
      <w:r w:rsidR="003C0EAB">
        <w:rPr>
          <w:bCs w:val="0"/>
          <w:spacing w:val="0"/>
        </w:rPr>
        <w:t xml:space="preserve"> быть новыми, изготовленными не ранее 2023 года,</w:t>
      </w:r>
      <w:r w:rsidR="00735297">
        <w:rPr>
          <w:bCs w:val="0"/>
          <w:spacing w:val="0"/>
        </w:rPr>
        <w:t xml:space="preserve"> иметь соответствующие сертификаты, технические паспорта и другие документы, удостоверяющие их качество и безопасность. Копии сертификатов, технических паспортов и других документов должны быть предоставлены Заказчику до начала выполнения работ.</w:t>
      </w:r>
    </w:p>
    <w:p w14:paraId="50447747" w14:textId="2BFF3EAB" w:rsidR="00F72E35" w:rsidRDefault="00640D9A" w:rsidP="00640D9A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t>3.4.</w:t>
      </w:r>
      <w:r w:rsidR="00677EC0">
        <w:rPr>
          <w:bCs w:val="0"/>
          <w:spacing w:val="0"/>
        </w:rPr>
        <w:t>4</w:t>
      </w:r>
      <w:r>
        <w:rPr>
          <w:bCs w:val="0"/>
          <w:spacing w:val="0"/>
        </w:rPr>
        <w:t>.</w:t>
      </w:r>
      <w:r>
        <w:rPr>
          <w:bCs w:val="0"/>
          <w:spacing w:val="0"/>
        </w:rPr>
        <w:tab/>
      </w:r>
      <w:r w:rsidR="00671B8E">
        <w:rPr>
          <w:bCs w:val="0"/>
          <w:spacing w:val="0"/>
        </w:rPr>
        <w:t>И</w:t>
      </w:r>
      <w:r w:rsidR="00735297">
        <w:rPr>
          <w:bCs w:val="0"/>
          <w:spacing w:val="0"/>
        </w:rPr>
        <w:t>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6DA0BA5A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</w:pPr>
      <w:r>
        <w:rPr>
          <w:b/>
        </w:rPr>
        <w:t>Требования безопасности</w:t>
      </w:r>
    </w:p>
    <w:p w14:paraId="4A1A0D8C" w14:textId="1FB36B76" w:rsidR="00F72E35" w:rsidRDefault="005D7118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093439">
        <w:t>выполнения работ</w:t>
      </w:r>
      <w:r w:rsidR="00735297">
        <w:t>.</w:t>
      </w:r>
    </w:p>
    <w:p w14:paraId="6486A1A1" w14:textId="412E429E" w:rsidR="00F72E35" w:rsidRDefault="00E534A9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обеспечивает безопасность труда своего персонала в пределах принятого объема </w:t>
      </w:r>
      <w:r w:rsidR="00093439">
        <w:t>работ</w:t>
      </w:r>
      <w:r w:rsidR="00735297">
        <w:t xml:space="preserve">, согласно требованиям правил по охране труда и противопожарных мероприятий и обеспечивает соблюдение своим персоналом правил внутреннего распорядка организации, правил техники безопасности, правил противопожарного режима (безопасности). </w:t>
      </w:r>
    </w:p>
    <w:p w14:paraId="66CDFC55" w14:textId="0A56C0D6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Сотрудники </w:t>
      </w:r>
      <w:r w:rsidR="00D22D12">
        <w:t>Подрядчика</w:t>
      </w:r>
      <w:r>
        <w:t xml:space="preserve"> перед началом </w:t>
      </w:r>
      <w:r w:rsidR="00093439">
        <w:t>выполнения работ</w:t>
      </w:r>
      <w:r>
        <w:t xml:space="preserve"> обязаны единожды пройти вводный инструктаж по технике безопасности, проводимый Заказчиком.</w:t>
      </w:r>
    </w:p>
    <w:p w14:paraId="07562E09" w14:textId="161EC5F2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При </w:t>
      </w:r>
      <w:r w:rsidR="00093439">
        <w:t xml:space="preserve">выполнении </w:t>
      </w:r>
      <w:r>
        <w:t xml:space="preserve">работ на высоте </w:t>
      </w:r>
      <w:r w:rsidR="00093439">
        <w:t xml:space="preserve">Подрядчик </w:t>
      </w:r>
      <w:r>
        <w:t>должен руководствоваться правилами по охране труда при работе на высоте, утвержденными Приказом Министерства труда и социальной защиты Российской Федерации от 16 ноября 2020 г. № 782н.</w:t>
      </w:r>
    </w:p>
    <w:p w14:paraId="1030CAFE" w14:textId="359C9A99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порядку подготовки и передачи </w:t>
      </w:r>
      <w:r>
        <w:rPr>
          <w:b/>
          <w:szCs w:val="28"/>
          <w:shd w:val="clear" w:color="auto" w:fill="FFFFFF"/>
        </w:rPr>
        <w:t>Заказчиком</w:t>
      </w:r>
      <w:r>
        <w:rPr>
          <w:b/>
        </w:rPr>
        <w:t xml:space="preserve"> документов при </w:t>
      </w:r>
      <w:r w:rsidR="00093439">
        <w:rPr>
          <w:b/>
        </w:rPr>
        <w:t>выполнении работ</w:t>
      </w:r>
      <w:r>
        <w:rPr>
          <w:b/>
        </w:rPr>
        <w:t xml:space="preserve"> и их завершении</w:t>
      </w:r>
    </w:p>
    <w:p w14:paraId="3AE81CD5" w14:textId="61DFFAD2" w:rsidR="00F72E35" w:rsidRDefault="00735297">
      <w:pPr>
        <w:pStyle w:val="aff5"/>
        <w:ind w:firstLine="567"/>
        <w:jc w:val="both"/>
      </w:pPr>
      <w:r>
        <w:t xml:space="preserve">Порядок подготовки и передачи Заказчику документов при </w:t>
      </w:r>
      <w:r w:rsidR="00093439">
        <w:t>выполнении работ</w:t>
      </w:r>
      <w:r>
        <w:t xml:space="preserve"> и их завершении установлен в разделе </w:t>
      </w:r>
      <w:r w:rsidR="00BC4CC6">
        <w:t>9</w:t>
      </w:r>
      <w:r>
        <w:t xml:space="preserve"> проекта Договора.</w:t>
      </w:r>
    </w:p>
    <w:p w14:paraId="75A6F7CF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>Требования к гарантийным обязательствам</w:t>
      </w:r>
    </w:p>
    <w:p w14:paraId="5770EC23" w14:textId="114CCFE6" w:rsidR="00671B8E" w:rsidRPr="00FE0F55" w:rsidRDefault="00B16701" w:rsidP="00671B8E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bookmarkStart w:id="0" w:name="_Hlk142553788"/>
      <w:r w:rsidRPr="00FE0F55">
        <w:t>Гарантийный срок на</w:t>
      </w:r>
      <w:r w:rsidR="00677EC0" w:rsidRPr="00FE0F55">
        <w:t xml:space="preserve"> результат выполненных работ, а также на</w:t>
      </w:r>
      <w:r w:rsidR="00AC2205" w:rsidRPr="00FE0F55">
        <w:t xml:space="preserve"> </w:t>
      </w:r>
      <w:r w:rsidRPr="00FE0F55">
        <w:t xml:space="preserve">поставляемые комплектно </w:t>
      </w:r>
      <w:r w:rsidR="00AC2205" w:rsidRPr="00FE0F55">
        <w:t>материалы и оборудование</w:t>
      </w:r>
      <w:r w:rsidR="00677EC0" w:rsidRPr="00FE0F55">
        <w:t xml:space="preserve"> (за исключением контроллеров СКУД и считывателей) должен составлять </w:t>
      </w:r>
      <w:r w:rsidRPr="00FE0F55">
        <w:t>не менее 12 месяцев</w:t>
      </w:r>
      <w:r w:rsidR="006C4376" w:rsidRPr="00FE0F55">
        <w:t xml:space="preserve"> с </w:t>
      </w:r>
      <w:r w:rsidR="00677EC0" w:rsidRPr="00FE0F55">
        <w:t>даты</w:t>
      </w:r>
      <w:r w:rsidR="006C4376" w:rsidRPr="00FE0F55">
        <w:t xml:space="preserve"> </w:t>
      </w:r>
      <w:r w:rsidR="002B1E64" w:rsidRPr="00FE0F55">
        <w:t>подписания Заказчиком акта сдачи-приемки выполненных работ по форме КС-2, КС-3</w:t>
      </w:r>
      <w:r w:rsidRPr="00FE0F55">
        <w:t xml:space="preserve">. </w:t>
      </w:r>
    </w:p>
    <w:p w14:paraId="5726DCB0" w14:textId="5DE121CA" w:rsidR="00DE5C23" w:rsidRPr="00FE0F55" w:rsidRDefault="00B16701" w:rsidP="00AC2205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E0F55">
        <w:t>Участник закупки в своем предложении должен в явном виде указать предлагаемый срок гарантии</w:t>
      </w:r>
      <w:r w:rsidR="00677EC0" w:rsidRPr="00FE0F55">
        <w:t xml:space="preserve"> на результат выполненных работ, а также на поставляемые комплектно материалы и оборудование (за исключением контроллеров СКУД и считывателей)</w:t>
      </w:r>
      <w:r w:rsidRPr="00FE0F55">
        <w:t xml:space="preserve"> и момент с которого она действует, либо указать свое согласие с требованиями технического задания</w:t>
      </w:r>
      <w:r w:rsidR="00640D9A" w:rsidRPr="00FE0F55">
        <w:t>.</w:t>
      </w:r>
      <w:r w:rsidRPr="00FE0F55" w:rsidDel="00B16701">
        <w:t xml:space="preserve"> </w:t>
      </w:r>
    </w:p>
    <w:bookmarkEnd w:id="0"/>
    <w:p w14:paraId="6EFAB05E" w14:textId="155774C1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 xml:space="preserve">Ответственность </w:t>
      </w:r>
      <w:r w:rsidR="00D22D12">
        <w:rPr>
          <w:rFonts w:eastAsia="Calibri"/>
          <w:b/>
        </w:rPr>
        <w:t>Подрядчика</w:t>
      </w:r>
    </w:p>
    <w:p w14:paraId="224D0348" w14:textId="777777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7F83A1D1" w14:textId="28789083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привлечения </w:t>
      </w:r>
      <w:r w:rsidR="00D22D12">
        <w:t>Подрядчиком</w:t>
      </w:r>
      <w:r>
        <w:t xml:space="preserve"> (по согласованию с Заказчиком) соисполнителя, </w:t>
      </w:r>
      <w:r w:rsidR="00D22D12">
        <w:t>Подрядчик</w:t>
      </w:r>
      <w:r>
        <w:t xml:space="preserve"> в полном объёме несёт ответственность за действия соисполнителя, в том числе соблюдение персоналом соисполнителя производственной дисциплины. </w:t>
      </w:r>
    </w:p>
    <w:p w14:paraId="77E3C5C2" w14:textId="10AD95D0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За нарушение условий Договора, повлекших ухудшение результата </w:t>
      </w:r>
      <w:r w:rsidR="00093439">
        <w:t>выполненных работ</w:t>
      </w:r>
      <w:r>
        <w:t>, Заказчик вправе потребовать безвозмездного устранения недостатков в течение 2 дней с момента направления Заказчиком соответствующего запроса путем телефонной связи или электронной почты.</w:t>
      </w:r>
    </w:p>
    <w:p w14:paraId="7826A6F9" w14:textId="6920DD42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причиненный в ходе </w:t>
      </w:r>
      <w:r w:rsidR="00093439">
        <w:t>выполнения работ</w:t>
      </w:r>
      <w:r w:rsidR="00735297">
        <w:t xml:space="preserve"> людям, зданиям, сооружениям, оборудованию, окружающей среде, за несоблюдение требований охраны труда, пожарной и промышленной безопасности в процессе </w:t>
      </w:r>
      <w:r w:rsidR="00093439">
        <w:t>выполнения работ</w:t>
      </w:r>
      <w:r w:rsidR="00735297">
        <w:t xml:space="preserve">. </w:t>
      </w:r>
    </w:p>
    <w:p w14:paraId="2BF199A1" w14:textId="05677B19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, не предупредивший Заказчика о необходимости выполнения дополнительных </w:t>
      </w:r>
      <w:r>
        <w:t>работ</w:t>
      </w:r>
      <w:r w:rsidR="00735297">
        <w:t xml:space="preserve">, не учтенных в ТЗ, которые могут повлиять на работоспособность системы </w:t>
      </w:r>
      <w:r w:rsidR="00735297">
        <w:lastRenderedPageBreak/>
        <w:t>либо создают невозможность завершения в срок</w:t>
      </w:r>
      <w:r>
        <w:t xml:space="preserve"> работ</w:t>
      </w:r>
      <w:r w:rsidR="00735297">
        <w:t>, обязан возместить в полном объеме убытки, причинённые Заказчику.</w:t>
      </w:r>
    </w:p>
    <w:p w14:paraId="6E9F70C1" w14:textId="3B2B0F81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возникновения претензий к </w:t>
      </w:r>
      <w:r w:rsidR="00D22D12">
        <w:t>Подрядчику</w:t>
      </w:r>
      <w:r>
        <w:t>, независимо от их характера, со стороны третьих лиц, Заказчик не несет по ним никакой ответственности.</w:t>
      </w:r>
    </w:p>
    <w:p w14:paraId="75B58FF3" w14:textId="07AE81C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Убытки, причиненные </w:t>
      </w:r>
      <w:r w:rsidR="00D22D12">
        <w:t>Подрядчиком</w:t>
      </w:r>
      <w:r>
        <w:t xml:space="preserve"> при </w:t>
      </w:r>
      <w:r w:rsidR="00D22D12">
        <w:t>выполнении работ</w:t>
      </w:r>
      <w:r>
        <w:t xml:space="preserve"> по настоящему Договору Заказчику или третьим лицам, возмещаются </w:t>
      </w:r>
      <w:r w:rsidR="00D22D12">
        <w:t>Подрядчиком</w:t>
      </w:r>
      <w:r>
        <w:t xml:space="preserve"> в полном объеме. Если убытки, причиненные </w:t>
      </w:r>
      <w:r w:rsidR="00D22D12">
        <w:t>Подрядчиком</w:t>
      </w:r>
      <w:r>
        <w:t xml:space="preserve"> третьим лицам, возмещены Заказчиком, то </w:t>
      </w:r>
      <w:r w:rsidR="00D22D12">
        <w:t>Подрядчик</w:t>
      </w:r>
      <w:r>
        <w:t xml:space="preserve"> обязан возместить Заказчику соответствующие расходы по факту выставления Заказчиком соответствующего требования. </w:t>
      </w:r>
    </w:p>
    <w:p w14:paraId="51605696" w14:textId="1F8ACF06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материальную ответственность перед Заказчиком за ущерб, причинённый уничтожением, повреждением, хищением имущества последнего в результате ненадлежащего выполнения своих обязанностей по Договору.</w:t>
      </w:r>
    </w:p>
    <w:p w14:paraId="77E69553" w14:textId="6FCE798D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нанесенный Заказчику от кражи, повреждения или уничтожения имущества, в результате невыполнения или ненадлежащего выполнения им своих обязательств, предусмотренных настоящим Договором в размере прямого действительного ущерба. </w:t>
      </w:r>
    </w:p>
    <w:p w14:paraId="63FB9360" w14:textId="465D4F3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  <w:rPr>
          <w:color w:val="000000" w:themeColor="text1"/>
        </w:rPr>
      </w:pPr>
      <w:r>
        <w:t xml:space="preserve"> Возмещение ущерба производится </w:t>
      </w:r>
      <w:r w:rsidR="00D22D12">
        <w:t>Подрядчиком</w:t>
      </w:r>
      <w:r>
        <w:t xml:space="preserve"> в срок, не превышающей 30 (тридцать) календарных дней с даты письменного обращения Заказчика к </w:t>
      </w:r>
      <w:r w:rsidR="00D22D12">
        <w:t>Подрядчику</w:t>
      </w:r>
      <w:r>
        <w:t xml:space="preserve"> и предоставлении копии заявления о преступлении или чрезвычайном происшествии, копии постановления о возбуждении уголовного дела, с обязательным указанием размера реального ущерба и перечня похищенного, уничтоженного или поврежденного имущества, копии документов по результатам совместно проведенной Сторонами инвентаризации</w:t>
      </w:r>
      <w:r>
        <w:rPr>
          <w:rFonts w:eastAsia="Lucida Sans Unicode"/>
        </w:rPr>
        <w:t xml:space="preserve">. Для определения размера ущерба, причиненного хищением, уничтожением или повреждением имущества Заказчик обязан немедленно провести инвентаризацию с обязательным участием представителей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. Заказчик обязан предварительно письменно уведомить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 о начале проведения инвентаризации.</w:t>
      </w:r>
    </w:p>
    <w:p w14:paraId="6C01C71C" w14:textId="1C2B11DB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порядку привлечения </w:t>
      </w:r>
      <w:r w:rsidR="005220BD">
        <w:rPr>
          <w:b/>
        </w:rPr>
        <w:t>субподрядчиков</w:t>
      </w:r>
    </w:p>
    <w:p w14:paraId="1B4073A3" w14:textId="4BCB28F7" w:rsidR="00F72E35" w:rsidRDefault="00D22D12">
      <w:pPr>
        <w:ind w:firstLine="567"/>
        <w:jc w:val="both"/>
      </w:pPr>
      <w:r>
        <w:t>Подрядчик</w:t>
      </w:r>
      <w:r w:rsidR="00735297">
        <w:t xml:space="preserve"> для </w:t>
      </w:r>
      <w:r w:rsidR="00093439">
        <w:t>выполнения работ</w:t>
      </w:r>
      <w:r w:rsidR="00735297">
        <w:t xml:space="preserve">, указанных в ТЗ может привлекать субподрядные организации. При этом объем </w:t>
      </w:r>
      <w:r w:rsidR="00093439">
        <w:t>работ</w:t>
      </w:r>
      <w:r w:rsidR="00735297">
        <w:t xml:space="preserve">, выполняемых привлекаемыми субподрядными организациями, не должен превышать 50% от объема </w:t>
      </w:r>
      <w:r w:rsidR="005220BD">
        <w:t xml:space="preserve">работ </w:t>
      </w:r>
      <w:r w:rsidR="00735297">
        <w:t>по договору.</w:t>
      </w:r>
    </w:p>
    <w:p w14:paraId="12A0EE70" w14:textId="2FD450C7" w:rsidR="00F72E35" w:rsidRDefault="00735297">
      <w:pPr>
        <w:ind w:firstLine="567"/>
        <w:jc w:val="both"/>
      </w:pPr>
      <w:r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</w:t>
      </w:r>
      <w:r w:rsidR="00D22D12">
        <w:t>Подрядчик</w:t>
      </w:r>
      <w:r>
        <w:t xml:space="preserve"> должен согласовать привлечение таких субподрядных организаций с Заказчиком.</w:t>
      </w:r>
    </w:p>
    <w:p w14:paraId="42E7F755" w14:textId="77777777" w:rsidR="00F72E35" w:rsidRDefault="00F72E35">
      <w:pPr>
        <w:ind w:firstLine="567"/>
        <w:jc w:val="both"/>
      </w:pPr>
    </w:p>
    <w:p w14:paraId="58085E01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>ТРЕБОВАНИЯ К ПОРЯДОКУ ФОРМИРОВАНИЯ КОММЕРЧЕСКОГО ПРЕДЛОЖЕНИЯ УЧАСТНИКА, ОБОСНОВАНИЯ ЦЕНЫ, РАСЧЕТОВ</w:t>
      </w:r>
    </w:p>
    <w:p w14:paraId="540B3C4E" w14:textId="38C12E69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Коммерческое предложение должно быть представлено по установленной форме в </w:t>
      </w:r>
      <w:r w:rsidR="005220BD">
        <w:rPr>
          <w:rFonts w:eastAsia="Cambria"/>
        </w:rPr>
        <w:t xml:space="preserve">соответствии с </w:t>
      </w:r>
      <w:r>
        <w:rPr>
          <w:rFonts w:eastAsia="Cambria"/>
        </w:rPr>
        <w:t>Приложени</w:t>
      </w:r>
      <w:r w:rsidR="005220BD">
        <w:rPr>
          <w:rFonts w:eastAsia="Cambria"/>
        </w:rPr>
        <w:t>ем</w:t>
      </w:r>
      <w:r>
        <w:rPr>
          <w:rFonts w:eastAsia="Cambria"/>
        </w:rPr>
        <w:t xml:space="preserve"> № 3 к Техническому заданию.</w:t>
      </w:r>
    </w:p>
    <w:p w14:paraId="67FE1DA3" w14:textId="2AA6490C" w:rsidR="00640D9A" w:rsidRDefault="00881654" w:rsidP="005A6AFC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 w:rsidRPr="00640D9A">
        <w:rPr>
          <w:rFonts w:eastAsia="Cambria"/>
        </w:rPr>
        <w:t>В составе заявки участник предоставляет предварительную спецификацию оборудования, включающую системообразующее оборудование программно-аппаратного комплекса с указанием твердой цены за единицу продукции</w:t>
      </w:r>
      <w:r w:rsidRPr="00640D9A">
        <w:t xml:space="preserve"> </w:t>
      </w:r>
      <w:r w:rsidRPr="00640D9A">
        <w:rPr>
          <w:rFonts w:eastAsia="Cambria"/>
        </w:rPr>
        <w:t>по форме Приложения №4, которая использовалась для расчета коммерческого предложения</w:t>
      </w:r>
      <w:r>
        <w:rPr>
          <w:rFonts w:eastAsia="Cambria"/>
        </w:rPr>
        <w:t>.</w:t>
      </w:r>
    </w:p>
    <w:p w14:paraId="5A4B88C2" w14:textId="7D585407" w:rsidR="00FF769B" w:rsidRPr="00DD769E" w:rsidRDefault="00FF769B" w:rsidP="00FF769B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Подрядчик в течении </w:t>
      </w:r>
      <w:r w:rsidR="005C4A6A">
        <w:rPr>
          <w:rFonts w:eastAsia="Cambria"/>
        </w:rPr>
        <w:t>2</w:t>
      </w:r>
      <w:r>
        <w:rPr>
          <w:rFonts w:eastAsia="Cambria"/>
        </w:rPr>
        <w:t xml:space="preserve"> рабочих дней после подписания договора должен предоставить Заказчику Смету на проектные работы</w:t>
      </w:r>
      <w:r w:rsidR="00A95E51">
        <w:rPr>
          <w:rFonts w:eastAsia="Cambria"/>
        </w:rPr>
        <w:t xml:space="preserve">, составленную в </w:t>
      </w:r>
      <w:r w:rsidR="00A95E51" w:rsidRPr="00A95E51">
        <w:rPr>
          <w:rFonts w:eastAsia="Cambria"/>
        </w:rPr>
        <w:t>соответствии с Приложением №</w:t>
      </w:r>
      <w:r w:rsidR="00A95E51">
        <w:rPr>
          <w:rFonts w:eastAsia="Cambria"/>
        </w:rPr>
        <w:t>5</w:t>
      </w:r>
      <w:r w:rsidR="00A95E51" w:rsidRPr="00A95E51">
        <w:rPr>
          <w:rFonts w:eastAsia="Cambria"/>
        </w:rPr>
        <w:t xml:space="preserve"> к настоящему Техническому заданию</w:t>
      </w:r>
      <w:r w:rsidR="00A95E51">
        <w:rPr>
          <w:rFonts w:eastAsia="Cambria"/>
        </w:rPr>
        <w:t>.</w:t>
      </w:r>
    </w:p>
    <w:p w14:paraId="484D2A26" w14:textId="6BABCAC8" w:rsidR="00FF769B" w:rsidRPr="005C4A6A" w:rsidRDefault="00FF769B" w:rsidP="005C4A6A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В составе проектной документации Подрядчик должен </w:t>
      </w:r>
      <w:r w:rsidRPr="00DD769E">
        <w:rPr>
          <w:rFonts w:eastAsia="Cambria"/>
        </w:rPr>
        <w:t>предоставить Заказчику</w:t>
      </w:r>
      <w:r>
        <w:rPr>
          <w:rFonts w:eastAsia="Cambria"/>
        </w:rPr>
        <w:t xml:space="preserve"> сметный расчет стоимости строительно-монтажных и пусконаладочных работ, составленный в соответствии с Приложением №</w:t>
      </w:r>
      <w:r w:rsidR="00A95E51">
        <w:rPr>
          <w:rFonts w:eastAsia="Cambria"/>
          <w:lang w:val="en-US"/>
        </w:rPr>
        <w:t>6</w:t>
      </w:r>
      <w:r>
        <w:rPr>
          <w:rFonts w:eastAsia="Cambria"/>
        </w:rPr>
        <w:t xml:space="preserve"> к настоящему </w:t>
      </w:r>
      <w:r w:rsidR="005C4A6A">
        <w:rPr>
          <w:rFonts w:eastAsia="Cambria"/>
        </w:rPr>
        <w:t>Т</w:t>
      </w:r>
      <w:r>
        <w:rPr>
          <w:rFonts w:eastAsia="Cambria"/>
        </w:rPr>
        <w:t>ехническому заданию</w:t>
      </w:r>
      <w:r w:rsidR="00A95E51">
        <w:rPr>
          <w:rFonts w:eastAsia="Cambria"/>
        </w:rPr>
        <w:t>.</w:t>
      </w:r>
      <w:r>
        <w:rPr>
          <w:rFonts w:eastAsia="Cambria"/>
        </w:rPr>
        <w:t xml:space="preserve"> </w:t>
      </w:r>
    </w:p>
    <w:p w14:paraId="25B9F573" w14:textId="4BEF58AE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Оплата по настоящему Договору производится в форме безналичного расчета путем перечисления денежных средств на расчетный счет </w:t>
      </w:r>
      <w:r w:rsidR="00D22D12">
        <w:rPr>
          <w:rFonts w:eastAsia="Cambria"/>
        </w:rPr>
        <w:t>Подрядчика</w:t>
      </w:r>
      <w:r>
        <w:rPr>
          <w:rFonts w:eastAsia="Cambria"/>
        </w:rPr>
        <w:t>, в течении 7 (семи) рабочих дней с даты подписания Заказчиком акта сдачи-приемки выполненных работ</w:t>
      </w:r>
      <w:r w:rsidR="006571AD">
        <w:rPr>
          <w:rFonts w:eastAsia="Cambria"/>
        </w:rPr>
        <w:t xml:space="preserve"> по форме КС-2, КС-3</w:t>
      </w:r>
      <w:r>
        <w:rPr>
          <w:rFonts w:eastAsia="Cambria"/>
        </w:rPr>
        <w:t xml:space="preserve"> на </w:t>
      </w:r>
      <w:r>
        <w:rPr>
          <w:rFonts w:eastAsia="Cambria"/>
        </w:rPr>
        <w:lastRenderedPageBreak/>
        <w:t xml:space="preserve">основании выставленных оригиналов счета, счета-фактуры и документов, подтверждающих факт </w:t>
      </w:r>
      <w:r w:rsidR="00093439">
        <w:rPr>
          <w:rFonts w:eastAsia="Cambria"/>
        </w:rPr>
        <w:t>выполнения работ</w:t>
      </w:r>
      <w:r>
        <w:rPr>
          <w:rFonts w:eastAsia="Cambria"/>
        </w:rPr>
        <w:t>.</w:t>
      </w:r>
    </w:p>
    <w:p w14:paraId="6A0A066E" w14:textId="77777777" w:rsidR="00F72E35" w:rsidRDefault="00F72E35">
      <w:pPr>
        <w:pStyle w:val="af8"/>
        <w:spacing w:before="0" w:after="0"/>
        <w:ind w:left="567"/>
        <w:jc w:val="both"/>
        <w:rPr>
          <w:rFonts w:eastAsia="Cambria"/>
        </w:rPr>
      </w:pPr>
    </w:p>
    <w:p w14:paraId="1DA59902" w14:textId="77777777" w:rsidR="00F72E35" w:rsidRDefault="00735297" w:rsidP="00DF4ABB">
      <w:pPr>
        <w:pStyle w:val="af8"/>
        <w:keepNext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 xml:space="preserve">ТРЕБОВАНИЕ К УЧАСТНИКАМ ЗАКУПКИ </w:t>
      </w:r>
    </w:p>
    <w:p w14:paraId="74EB9C8B" w14:textId="77777777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В </w:t>
      </w:r>
      <w:r>
        <w:rPr>
          <w:rFonts w:eastAsia="Cambria"/>
          <w:b/>
        </w:rPr>
        <w:t>техническом предложении</w:t>
      </w:r>
      <w:r>
        <w:rPr>
          <w:rFonts w:eastAsia="Cambria"/>
        </w:rPr>
        <w:t xml:space="preserve"> </w:t>
      </w:r>
      <w:r>
        <w:rPr>
          <w:rFonts w:eastAsia="Cambria"/>
          <w:b/>
        </w:rPr>
        <w:t>участник должен</w:t>
      </w:r>
      <w:r>
        <w:rPr>
          <w:rFonts w:eastAsia="Cambria"/>
        </w:rPr>
        <w:t xml:space="preserve"> предоставить подтверждение что используемые при выполнении работ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DE170E4" w14:textId="77777777" w:rsidR="00F72E35" w:rsidRDefault="00735297">
      <w:pPr>
        <w:ind w:firstLine="567"/>
        <w:jc w:val="both"/>
        <w:rPr>
          <w:rFonts w:eastAsia="Calibri"/>
          <w:b/>
        </w:rPr>
      </w:pPr>
      <w:r>
        <w:rPr>
          <w:rFonts w:eastAsia="Cambria"/>
        </w:rPr>
        <w:t>5.1.</w:t>
      </w:r>
      <w:r>
        <w:rPr>
          <w:rFonts w:eastAsia="Cambria"/>
        </w:rPr>
        <w:tab/>
      </w:r>
      <w:r>
        <w:rPr>
          <w:rFonts w:eastAsia="Calibri"/>
          <w:b/>
        </w:rPr>
        <w:t>Требования о наличии кадровых ресурсов и их квалификации</w:t>
      </w:r>
    </w:p>
    <w:p w14:paraId="1CB49FFD" w14:textId="3829F9F5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Участник закупки в составе своего предложения предоставляет справку о кадровых ресурсах по форме закупочной документации, а также иные документы, указанные в настоящем пункте технического задания, подтверждающие наличие персонала, необходимого для </w:t>
      </w:r>
      <w:r w:rsidR="00093439">
        <w:rPr>
          <w:rFonts w:eastAsia="Cambria"/>
        </w:rPr>
        <w:t>выполнения работ</w:t>
      </w:r>
      <w:r>
        <w:rPr>
          <w:rFonts w:eastAsia="Cambria"/>
        </w:rPr>
        <w:t>, не менее чем:</w:t>
      </w:r>
    </w:p>
    <w:p w14:paraId="0B8FAC51" w14:textId="366BE059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 xml:space="preserve">5.1.1. </w:t>
      </w:r>
      <w:r>
        <w:rPr>
          <w:rFonts w:eastAsia="Cambria"/>
        </w:rPr>
        <w:t xml:space="preserve">Главный инженер проекта </w:t>
      </w:r>
      <w:r w:rsidRPr="00D56E8F">
        <w:rPr>
          <w:rFonts w:eastAsia="Cambria"/>
        </w:rPr>
        <w:t xml:space="preserve">- не менее </w:t>
      </w:r>
      <w:r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>
        <w:rPr>
          <w:rFonts w:eastAsia="Cambria"/>
        </w:rPr>
        <w:t>одного</w:t>
      </w:r>
      <w:r w:rsidRPr="00D56E8F">
        <w:rPr>
          <w:rFonts w:eastAsia="Cambria"/>
        </w:rPr>
        <w:t xml:space="preserve">) чел., </w:t>
      </w:r>
    </w:p>
    <w:p w14:paraId="01BC811A" w14:textId="67424517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>5.1.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. </w:t>
      </w:r>
      <w:r>
        <w:rPr>
          <w:rFonts w:eastAsia="Cambria"/>
        </w:rPr>
        <w:t>Инженер-проектировщик</w:t>
      </w:r>
      <w:r w:rsidRPr="00D56E8F">
        <w:rPr>
          <w:rFonts w:eastAsia="Cambria"/>
        </w:rPr>
        <w:t xml:space="preserve"> - не менее 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 (</w:t>
      </w:r>
      <w:r w:rsidR="00D22D12">
        <w:rPr>
          <w:rFonts w:eastAsia="Cambria"/>
        </w:rPr>
        <w:t>двух</w:t>
      </w:r>
      <w:r w:rsidRPr="00D56E8F">
        <w:rPr>
          <w:rFonts w:eastAsia="Cambria"/>
        </w:rPr>
        <w:t>) чел.</w:t>
      </w:r>
    </w:p>
    <w:p w14:paraId="586A797C" w14:textId="72452C44" w:rsidR="00F72E35" w:rsidRDefault="00735297" w:rsidP="00D56E8F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. </w:t>
      </w:r>
      <w:bookmarkStart w:id="1" w:name="_Hlk128386400"/>
      <w:r>
        <w:rPr>
          <w:color w:val="0D0D0D" w:themeColor="text1" w:themeTint="F2"/>
        </w:rPr>
        <w:t>Инженеры - не менее 5 (пяти) чел., имеющих допуск по электробезопасности не менее 4 гр. напряжением до 1 000 В, в качестве административно-технического персонала, а также допуск к работе на высоте (не менее 3 гр.).</w:t>
      </w:r>
    </w:p>
    <w:p w14:paraId="07C37C51" w14:textId="2BA1AD39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2E38A8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у указанного персонала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7184E2F9" w14:textId="4D2C0D0B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. Работники технического персонала (специалисты, монтажники и пр.), относящиеся к категории «рабочие» - не менее </w:t>
      </w:r>
      <w:r w:rsidR="00D22D12">
        <w:rPr>
          <w:color w:val="0D0D0D" w:themeColor="text1" w:themeTint="F2"/>
        </w:rPr>
        <w:t>10</w:t>
      </w:r>
      <w:r>
        <w:rPr>
          <w:color w:val="0D0D0D" w:themeColor="text1" w:themeTint="F2"/>
        </w:rPr>
        <w:t xml:space="preserve"> чел., имеющие допуск по электробезопасности не менее 3 гр. напряжением до 1 000 В, в качестве оперативно-ремонтного персонала, а также допуск к работе на высоте (не менее 2 гр.). </w:t>
      </w:r>
    </w:p>
    <w:p w14:paraId="12046977" w14:textId="6B8893B7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2E38A8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4E4EA936" w14:textId="7EC34173" w:rsidR="00F72E35" w:rsidRDefault="00735297">
      <w:pPr>
        <w:ind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. Квалифицированные работники - не менее 5 чел., прошедшие обучение и аттестацию в сфере работы с высокотехнологичными системами </w:t>
      </w:r>
      <w:r w:rsidR="00D22D12">
        <w:rPr>
          <w:color w:val="0D0D0D" w:themeColor="text1" w:themeTint="F2"/>
        </w:rPr>
        <w:t>СКУД</w:t>
      </w:r>
      <w:r>
        <w:rPr>
          <w:color w:val="0D0D0D" w:themeColor="text1" w:themeTint="F2"/>
        </w:rPr>
        <w:t>, программным обеспечением, на базе оборудования и программного</w:t>
      </w:r>
      <w:r w:rsidR="00D56E8F"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обеспечения</w:t>
      </w:r>
      <w:r w:rsidR="00D56E8F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</w:t>
      </w:r>
      <w:r w:rsidR="00D56E8F">
        <w:rPr>
          <w:color w:val="0D0D0D" w:themeColor="text1" w:themeTint="F2"/>
        </w:rPr>
        <w:t>предлагаемого Участником в качестве системообразующего</w:t>
      </w:r>
      <w:r>
        <w:rPr>
          <w:color w:val="0D0D0D" w:themeColor="text1" w:themeTint="F2"/>
        </w:rPr>
        <w:t>. Это могут быть в том числе и работники из числа, заявляемых Участником в соответствии с п. 5.1.1 и 5.1.</w:t>
      </w:r>
      <w:r w:rsidR="00B16701">
        <w:rPr>
          <w:color w:val="0D0D0D" w:themeColor="text1" w:themeTint="F2"/>
        </w:rPr>
        <w:t>4</w:t>
      </w:r>
      <w:r>
        <w:rPr>
          <w:color w:val="0D0D0D" w:themeColor="text1" w:themeTint="F2"/>
        </w:rPr>
        <w:t>.</w:t>
      </w:r>
    </w:p>
    <w:p w14:paraId="3ABE5230" w14:textId="65A180F7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B16701">
        <w:rPr>
          <w:color w:val="0D0D0D" w:themeColor="text1" w:themeTint="F2"/>
        </w:rPr>
        <w:t xml:space="preserve">5 </w:t>
      </w:r>
      <w:r>
        <w:rPr>
          <w:color w:val="0D0D0D" w:themeColor="text1" w:themeTint="F2"/>
        </w:rPr>
        <w:t xml:space="preserve">Участник предоставляет в составе своего предложения копии действующих сертификатов или аттестатов о прохождении обучения по оборудованию и программному обеспечению </w:t>
      </w:r>
      <w:r w:rsidR="00D56E8F">
        <w:rPr>
          <w:color w:val="0D0D0D" w:themeColor="text1" w:themeTint="F2"/>
        </w:rPr>
        <w:t>от разработчика (производителя), либо аккредитованной разработчиком (производителем) организации</w:t>
      </w:r>
      <w:r>
        <w:rPr>
          <w:color w:val="0D0D0D" w:themeColor="text1" w:themeTint="F2"/>
        </w:rPr>
        <w:t>.</w:t>
      </w:r>
    </w:p>
    <w:p w14:paraId="3263BF8C" w14:textId="70B0C475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6571AD">
        <w:rPr>
          <w:color w:val="0D0D0D" w:themeColor="text1" w:themeTint="F2"/>
        </w:rPr>
        <w:t>6</w:t>
      </w:r>
      <w:r>
        <w:rPr>
          <w:color w:val="0D0D0D" w:themeColor="text1" w:themeTint="F2"/>
        </w:rPr>
        <w:t>. Не принимаются для подтверждения условий по п. 5.1. работники, исполняющие обязанности руководителя или высшего менеджмента (заместители руководителя, директора по направлениям и их заместители) организации Участника, в том числе по совместительству.</w:t>
      </w:r>
      <w:bookmarkEnd w:id="1"/>
    </w:p>
    <w:p w14:paraId="31E17854" w14:textId="77777777" w:rsidR="00F72E35" w:rsidRDefault="00735297" w:rsidP="00B16701">
      <w:pPr>
        <w:pStyle w:val="af8"/>
        <w:numPr>
          <w:ilvl w:val="1"/>
          <w:numId w:val="38"/>
        </w:numPr>
        <w:spacing w:before="0" w:after="0"/>
        <w:jc w:val="both"/>
        <w:rPr>
          <w:b/>
        </w:rPr>
      </w:pPr>
      <w:r>
        <w:rPr>
          <w:b/>
        </w:rPr>
        <w:t>Требования о наличии материально-технических ресурсов</w:t>
      </w:r>
    </w:p>
    <w:p w14:paraId="31D20330" w14:textId="77777777" w:rsidR="00F72E35" w:rsidRDefault="00735297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lastRenderedPageBreak/>
        <w:t>5.2.1. Участник закупки в составе своего предложения предоставляет справку о материально-технических ресурсах по форме закупочной документации, подтверждающую наличие материальных ресурсов, необходимых для выполнения работ, не менее чем:</w:t>
      </w:r>
    </w:p>
    <w:p w14:paraId="60D105A7" w14:textId="1255FA1B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 xml:space="preserve">- мультиметра (измерение параметров ШС) – </w:t>
      </w:r>
      <w:r w:rsidR="00D56E8F">
        <w:rPr>
          <w:spacing w:val="0"/>
        </w:rPr>
        <w:t>4</w:t>
      </w:r>
      <w:r>
        <w:rPr>
          <w:spacing w:val="0"/>
        </w:rPr>
        <w:t xml:space="preserve"> шт.;</w:t>
      </w:r>
    </w:p>
    <w:p w14:paraId="4DD2C0DE" w14:textId="52CE015A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 xml:space="preserve">- </w:t>
      </w:r>
      <w:proofErr w:type="spellStart"/>
      <w:r>
        <w:rPr>
          <w:spacing w:val="0"/>
        </w:rPr>
        <w:t>мегаомметра</w:t>
      </w:r>
      <w:proofErr w:type="spellEnd"/>
      <w:r>
        <w:rPr>
          <w:spacing w:val="0"/>
        </w:rPr>
        <w:t xml:space="preserve"> (измерение параметров ШС) – </w:t>
      </w:r>
      <w:r w:rsidR="00D56E8F">
        <w:rPr>
          <w:spacing w:val="0"/>
        </w:rPr>
        <w:t>4</w:t>
      </w:r>
      <w:r>
        <w:rPr>
          <w:spacing w:val="0"/>
        </w:rPr>
        <w:t xml:space="preserve"> шт.;</w:t>
      </w:r>
    </w:p>
    <w:p w14:paraId="5ECEFE79" w14:textId="77777777" w:rsidR="00F72E35" w:rsidRDefault="00735297">
      <w:pPr>
        <w:ind w:firstLine="567"/>
        <w:jc w:val="both"/>
      </w:pPr>
      <w:r>
        <w:rPr>
          <w:color w:val="0D0D0D" w:themeColor="text1" w:themeTint="F2"/>
        </w:rPr>
        <w:t xml:space="preserve">5.2.2. Применяемые при измерительном контроле приборы и инструменты должны быть сертифицированы, </w:t>
      </w:r>
      <w:proofErr w:type="spellStart"/>
      <w:r>
        <w:rPr>
          <w:color w:val="0D0D0D" w:themeColor="text1" w:themeTint="F2"/>
        </w:rPr>
        <w:t>поверены</w:t>
      </w:r>
      <w:proofErr w:type="spellEnd"/>
      <w:r>
        <w:rPr>
          <w:color w:val="0D0D0D" w:themeColor="text1" w:themeTint="F2"/>
        </w:rPr>
        <w:t xml:space="preserve"> или откалиброваны. Участник закупки в составе своего предложения предоставляет копии паспортов или свидетельств о поверке / калибровке приборов, указанных в п. 5.2.1 настоящего технического задания, с не истёкшим сроком метрологического контроля.</w:t>
      </w:r>
    </w:p>
    <w:p w14:paraId="55C7EBFD" w14:textId="77777777" w:rsidR="00F72E35" w:rsidRDefault="00735297" w:rsidP="00B16701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действующих разрешений аттестаций, свидетельств СРО, лицензий.</w:t>
      </w:r>
    </w:p>
    <w:p w14:paraId="59E45FF4" w14:textId="0DA4DF6D" w:rsidR="00F72E35" w:rsidRDefault="00D56E8F">
      <w:pPr>
        <w:pStyle w:val="af8"/>
        <w:spacing w:before="0" w:after="0"/>
        <w:ind w:firstLine="567"/>
        <w:jc w:val="both"/>
      </w:pPr>
      <w:r>
        <w:t>Не требуется.</w:t>
      </w:r>
    </w:p>
    <w:p w14:paraId="640099AB" w14:textId="77777777" w:rsidR="00F72E35" w:rsidRDefault="00735297" w:rsidP="00B16701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сертифицированных систем менеджмента</w:t>
      </w:r>
    </w:p>
    <w:p w14:paraId="061428AA" w14:textId="77777777" w:rsidR="00F72E35" w:rsidRDefault="00735297">
      <w:pPr>
        <w:ind w:firstLine="567"/>
        <w:jc w:val="both"/>
      </w:pPr>
      <w:r>
        <w:t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 Р ИСО 9001 (ISO 9001), системы менеджмента безопасности труда и охраны труда (OHSAS 18001 / ГОСТ Р ИСО 45001), экологического менеджмента (ISO 14001 / ГОСТ Р ИСО 14001), энергетического менеджмента (ISO 50001 / ГОСТ Р ИСО 50001), действующие в соответствии с законодательными и нормативными актами РФ.</w:t>
      </w:r>
    </w:p>
    <w:p w14:paraId="2281CA86" w14:textId="77777777" w:rsidR="00F72E35" w:rsidRDefault="00735297" w:rsidP="00B16701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аккредитации в Группе «Интер РАО»</w:t>
      </w:r>
    </w:p>
    <w:p w14:paraId="68432BF4" w14:textId="77777777" w:rsidR="00F72E35" w:rsidRDefault="00735297">
      <w:pPr>
        <w:ind w:firstLine="567"/>
        <w:jc w:val="both"/>
      </w:pPr>
      <w:r>
        <w:t xml:space="preserve">Участники закупки, имеющие аккредитацию в Группе «Интер РАО» в качестве поставщиков товаров/работ/услуг, являющихся предметом закупки, предоставляют копию действующего Свидетельства об аккредитации. </w:t>
      </w:r>
    </w:p>
    <w:p w14:paraId="5B221BA8" w14:textId="31446494" w:rsidR="00F72E35" w:rsidRDefault="00735297" w:rsidP="00B16701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опыту </w:t>
      </w:r>
      <w:r w:rsidR="00093439">
        <w:rPr>
          <w:b/>
        </w:rPr>
        <w:t xml:space="preserve">выполнения </w:t>
      </w:r>
      <w:r>
        <w:rPr>
          <w:b/>
        </w:rPr>
        <w:t xml:space="preserve">аналогичных </w:t>
      </w:r>
      <w:r w:rsidR="00093439">
        <w:rPr>
          <w:b/>
        </w:rPr>
        <w:t>работ</w:t>
      </w:r>
    </w:p>
    <w:p w14:paraId="468BD353" w14:textId="6EE5CB0E" w:rsidR="00F72E35" w:rsidRDefault="00735297">
      <w:pPr>
        <w:pStyle w:val="af8"/>
        <w:spacing w:before="0" w:after="0"/>
        <w:ind w:firstLine="567"/>
        <w:jc w:val="both"/>
      </w:pPr>
      <w:r>
        <w:t xml:space="preserve">5.6.1. 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опыта </w:t>
      </w:r>
      <w:r w:rsidR="00DF4ABB">
        <w:t>выполнения работ</w:t>
      </w:r>
      <w:r>
        <w:t>, аналогичных предмету закупки в количестве не менее 2 (двух) исполненных или действующих договоров за период с 2020-202</w:t>
      </w:r>
      <w:r w:rsidR="00426A15">
        <w:t>3</w:t>
      </w:r>
      <w:r>
        <w:t xml:space="preserve"> гг. </w:t>
      </w:r>
    </w:p>
    <w:p w14:paraId="0C8A4B97" w14:textId="729F0CEF" w:rsidR="00F20584" w:rsidRDefault="00735297">
      <w:pPr>
        <w:pStyle w:val="af8"/>
        <w:spacing w:before="0" w:after="0"/>
        <w:ind w:firstLine="567"/>
        <w:jc w:val="both"/>
      </w:pPr>
      <w:r>
        <w:t xml:space="preserve">Аналогичными предмету закупочной процедуры признаются договоры на сумму не менее указанной в заявке, в рамках которых </w:t>
      </w:r>
      <w:r w:rsidR="00F20584">
        <w:t>выполнялись работы по монтажу</w:t>
      </w:r>
      <w:r>
        <w:t xml:space="preserve"> систем</w:t>
      </w:r>
      <w:r w:rsidR="00DF4ABB">
        <w:t xml:space="preserve"> </w:t>
      </w:r>
      <w:r>
        <w:t>контроля и управления доступом</w:t>
      </w:r>
      <w:r w:rsidR="008E15FA">
        <w:t>.</w:t>
      </w:r>
    </w:p>
    <w:p w14:paraId="03BCC661" w14:textId="308F8266" w:rsidR="00F72E35" w:rsidRDefault="00735297">
      <w:pPr>
        <w:pStyle w:val="af8"/>
        <w:spacing w:before="0" w:after="0"/>
        <w:ind w:firstLine="567"/>
        <w:jc w:val="both"/>
      </w:pPr>
      <w:r>
        <w:t>5.6.2. Участник закупки в составе своего предложения дополнительно предоставляет:</w:t>
      </w:r>
    </w:p>
    <w:p w14:paraId="7C1318CE" w14:textId="77777777" w:rsidR="00F72E35" w:rsidRDefault="00735297">
      <w:pPr>
        <w:pStyle w:val="af8"/>
        <w:spacing w:before="0" w:after="0"/>
        <w:ind w:firstLine="567"/>
        <w:jc w:val="both"/>
      </w:pPr>
      <w:r>
        <w:t>- скан-копии указанных в Справке договоров.</w:t>
      </w:r>
    </w:p>
    <w:p w14:paraId="03AB7F11" w14:textId="6F1B4142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093439">
        <w:t xml:space="preserve">выполненных </w:t>
      </w:r>
      <w:r>
        <w:t xml:space="preserve">работ за последний отчетный период для указанных в Справке исполненных договоров. </w:t>
      </w:r>
    </w:p>
    <w:p w14:paraId="653655C3" w14:textId="316361AF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093439">
        <w:t xml:space="preserve">выполненных </w:t>
      </w:r>
      <w:r>
        <w:t>работ на дату не ранее 1 (одного) календарного месяца на момент подачи заявки участником для указанных в Справке действующих договоров.</w:t>
      </w:r>
    </w:p>
    <w:p w14:paraId="70850895" w14:textId="77777777" w:rsidR="00F72E35" w:rsidRDefault="00735297" w:rsidP="00B16701">
      <w:pPr>
        <w:pStyle w:val="af8"/>
        <w:numPr>
          <w:ilvl w:val="1"/>
          <w:numId w:val="38"/>
        </w:numPr>
        <w:spacing w:before="0" w:after="0"/>
        <w:jc w:val="both"/>
        <w:rPr>
          <w:rFonts w:eastAsia="Calibri"/>
          <w:b/>
        </w:rPr>
      </w:pPr>
      <w:r>
        <w:rPr>
          <w:rFonts w:eastAsia="Calibri"/>
          <w:b/>
        </w:rPr>
        <w:t>Требования к субподрядным организациям</w:t>
      </w:r>
    </w:p>
    <w:p w14:paraId="3AA727CD" w14:textId="77777777" w:rsidR="00F72E35" w:rsidRDefault="00735297">
      <w:pPr>
        <w:jc w:val="both"/>
      </w:pPr>
      <w:r>
        <w:t xml:space="preserve">        Требования и условия, указанные в пунктах 5.1-5.3, 5.6. применимы к привлекаемым участниками соисполнителей,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и условиям п. 5.1-5.3, 5.6.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9AEBE10" w14:textId="77777777" w:rsidR="00F72E35" w:rsidRDefault="00F72E35">
      <w:pPr>
        <w:ind w:firstLine="567"/>
        <w:jc w:val="both"/>
      </w:pPr>
    </w:p>
    <w:p w14:paraId="7FBE3670" w14:textId="77777777" w:rsidR="00F72E35" w:rsidRDefault="00735297" w:rsidP="00677EC0">
      <w:pPr>
        <w:jc w:val="both"/>
        <w:rPr>
          <w:b/>
          <w:lang w:eastAsia="ru-RU"/>
        </w:rPr>
      </w:pPr>
      <w:r>
        <w:rPr>
          <w:b/>
          <w:lang w:eastAsia="ru-RU"/>
        </w:rPr>
        <w:t>6. ПРИЛОЖЕНИЯ К ТЕХНИЧЕСКОМУ ЗАДАНИЮ</w:t>
      </w:r>
    </w:p>
    <w:p w14:paraId="25015855" w14:textId="46E3C1DD" w:rsidR="00BC4CC6" w:rsidRDefault="00BC4CC6" w:rsidP="00677EC0">
      <w:pPr>
        <w:jc w:val="both"/>
        <w:rPr>
          <w:lang w:eastAsia="ru-RU"/>
        </w:rPr>
      </w:pPr>
      <w:r w:rsidRPr="00BC4CC6">
        <w:rPr>
          <w:lang w:eastAsia="ru-RU"/>
        </w:rPr>
        <w:t>Приложение №</w:t>
      </w:r>
      <w:r>
        <w:rPr>
          <w:lang w:eastAsia="ru-RU"/>
        </w:rPr>
        <w:t>1</w:t>
      </w:r>
      <w:r w:rsidRPr="00BC4CC6">
        <w:rPr>
          <w:lang w:eastAsia="ru-RU"/>
        </w:rPr>
        <w:t xml:space="preserve">. </w:t>
      </w:r>
      <w:r>
        <w:rPr>
          <w:lang w:eastAsia="ru-RU"/>
        </w:rPr>
        <w:t>Задание Заказчика</w:t>
      </w:r>
      <w:r w:rsidRPr="00BC4CC6">
        <w:rPr>
          <w:lang w:eastAsia="ru-RU"/>
        </w:rPr>
        <w:t>.</w:t>
      </w:r>
    </w:p>
    <w:p w14:paraId="3F3B6398" w14:textId="0CAB5C51" w:rsidR="00F72E35" w:rsidRDefault="00735297" w:rsidP="00677EC0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BC4CC6">
        <w:rPr>
          <w:lang w:eastAsia="ru-RU"/>
        </w:rPr>
        <w:t>2</w:t>
      </w:r>
      <w:r>
        <w:rPr>
          <w:lang w:eastAsia="ru-RU"/>
        </w:rPr>
        <w:t>. Перечень и характеристики объектов и систем.</w:t>
      </w:r>
    </w:p>
    <w:p w14:paraId="64689043" w14:textId="385257CD" w:rsidR="00F72E35" w:rsidRDefault="00735297" w:rsidP="00677EC0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BC4CC6">
        <w:rPr>
          <w:lang w:eastAsia="ru-RU"/>
        </w:rPr>
        <w:t>3</w:t>
      </w:r>
      <w:r>
        <w:rPr>
          <w:lang w:eastAsia="ru-RU"/>
        </w:rPr>
        <w:t>. Форма коммерческого предложения.</w:t>
      </w:r>
    </w:p>
    <w:p w14:paraId="68F301CB" w14:textId="72862F22" w:rsidR="00F72E35" w:rsidRDefault="00E54378" w:rsidP="00677EC0">
      <w:pPr>
        <w:rPr>
          <w:color w:val="000000"/>
        </w:rPr>
      </w:pPr>
      <w:r>
        <w:rPr>
          <w:color w:val="000000"/>
        </w:rPr>
        <w:t>Приложение №4</w:t>
      </w:r>
      <w:r w:rsidR="004C03F2">
        <w:rPr>
          <w:color w:val="000000"/>
        </w:rPr>
        <w:t>.</w:t>
      </w:r>
      <w:r>
        <w:rPr>
          <w:color w:val="000000"/>
        </w:rPr>
        <w:t xml:space="preserve"> Форма спецификаци</w:t>
      </w:r>
      <w:r w:rsidR="00C32ACE">
        <w:rPr>
          <w:color w:val="000000"/>
        </w:rPr>
        <w:t>и</w:t>
      </w:r>
      <w:r>
        <w:rPr>
          <w:color w:val="000000"/>
        </w:rPr>
        <w:t xml:space="preserve"> оборудования и материалов</w:t>
      </w:r>
    </w:p>
    <w:p w14:paraId="02ECD91D" w14:textId="2FACEE18" w:rsidR="00677EC0" w:rsidRPr="004C03F2" w:rsidRDefault="00677EC0">
      <w:r>
        <w:rPr>
          <w:b/>
          <w:sz w:val="32"/>
          <w:szCs w:val="32"/>
          <w:vertAlign w:val="superscript"/>
        </w:rPr>
        <w:br w:type="page"/>
      </w:r>
      <w:r w:rsidR="004C03F2" w:rsidRPr="004C03F2">
        <w:lastRenderedPageBreak/>
        <w:t>Приложение №</w:t>
      </w:r>
      <w:r w:rsidR="004C03F2" w:rsidRPr="004C03F2">
        <w:rPr>
          <w:lang w:val="en-US"/>
        </w:rPr>
        <w:t>5</w:t>
      </w:r>
      <w:r w:rsidR="004C03F2">
        <w:t>.</w:t>
      </w:r>
      <w:r w:rsidR="004C03F2" w:rsidRPr="004C03F2">
        <w:t xml:space="preserve"> Рекомендации для формирования стоимости проектных и изыскательских работ.</w:t>
      </w:r>
    </w:p>
    <w:p w14:paraId="3248BD14" w14:textId="2E2D2E81" w:rsidR="004C03F2" w:rsidRPr="004C03F2" w:rsidRDefault="004C03F2">
      <w:r w:rsidRPr="004C03F2">
        <w:t>Приложение №</w:t>
      </w:r>
      <w:r w:rsidRPr="004C03F2">
        <w:rPr>
          <w:lang w:val="en-US"/>
        </w:rPr>
        <w:t>6</w:t>
      </w:r>
      <w:r w:rsidRPr="004C03F2">
        <w:t>. Рекомендации для формирования стоимости работ по техническому перевооружению и реконструкции.</w:t>
      </w:r>
    </w:p>
    <w:p w14:paraId="2B243EAD" w14:textId="77777777" w:rsidR="004C03F2" w:rsidRDefault="004C03F2">
      <w:p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br w:type="page"/>
      </w:r>
    </w:p>
    <w:p w14:paraId="4D98C760" w14:textId="165DE4EE" w:rsidR="00F72E35" w:rsidRDefault="00735297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BC4CC6"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792586A9" w14:textId="77777777" w:rsidR="00F72E35" w:rsidRDefault="00F72E35">
      <w:pPr>
        <w:jc w:val="center"/>
        <w:rPr>
          <w:vertAlign w:val="superscript"/>
        </w:rPr>
      </w:pPr>
    </w:p>
    <w:tbl>
      <w:tblPr>
        <w:tblW w:w="1047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10"/>
        <w:gridCol w:w="1111"/>
        <w:gridCol w:w="2061"/>
        <w:gridCol w:w="3042"/>
        <w:gridCol w:w="1625"/>
        <w:gridCol w:w="2410"/>
        <w:gridCol w:w="119"/>
      </w:tblGrid>
      <w:tr w:rsidR="00F20584" w:rsidRPr="00EF09D3" w14:paraId="06C6C9CD" w14:textId="77777777" w:rsidTr="00AF1100">
        <w:trPr>
          <w:trHeight w:val="315"/>
        </w:trPr>
        <w:tc>
          <w:tcPr>
            <w:tcW w:w="10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4C3A5" w14:textId="77777777" w:rsidR="00F20584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  <w:p w14:paraId="7C027EC8" w14:textId="77777777" w:rsidR="00F20584" w:rsidRPr="00EF09D3" w:rsidRDefault="00F20584" w:rsidP="00AF110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lang w:eastAsia="ru-RU"/>
              </w:rPr>
              <w:t>Перечень объектов</w:t>
            </w:r>
          </w:p>
        </w:tc>
      </w:tr>
      <w:tr w:rsidR="00F20584" w:rsidRPr="00EF09D3" w14:paraId="2C4AFD65" w14:textId="77777777" w:rsidTr="00AF1100">
        <w:trPr>
          <w:trHeight w:val="810"/>
        </w:trPr>
        <w:tc>
          <w:tcPr>
            <w:tcW w:w="10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87CCA" w14:textId="77777777" w:rsidR="00F20584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 xml:space="preserve">на выполнение </w:t>
            </w:r>
            <w:r>
              <w:rPr>
                <w:bCs/>
                <w:lang w:eastAsia="ru-RU"/>
              </w:rPr>
              <w:t>р</w:t>
            </w:r>
            <w:r w:rsidRPr="00EB7BCE">
              <w:rPr>
                <w:bCs/>
                <w:lang w:eastAsia="ru-RU"/>
              </w:rPr>
              <w:t>абот по созданию системы контроля управления доступом в центральном офисе и клиентских отделениях</w:t>
            </w:r>
            <w:r w:rsidRPr="00EF09D3">
              <w:rPr>
                <w:lang w:eastAsia="ru-RU"/>
              </w:rPr>
              <w:t xml:space="preserve"> по сбыту электроэнергии АО «Петербургская сбытовая компания» </w:t>
            </w:r>
          </w:p>
          <w:p w14:paraId="79181783" w14:textId="77777777" w:rsidR="00F20584" w:rsidRPr="00EF09D3" w:rsidRDefault="00F20584" w:rsidP="00AF110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20584" w:rsidRPr="00EC2A76" w14:paraId="1554561B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7C875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14"/>
              <w:jc w:val="center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№ объекта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21641" w14:textId="77777777" w:rsidR="00F20584" w:rsidRPr="00EC2A76" w:rsidRDefault="00F20584" w:rsidP="00AF1100">
            <w:pPr>
              <w:suppressAutoHyphens/>
              <w:snapToGrid w:val="0"/>
              <w:spacing w:after="120"/>
              <w:jc w:val="center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Наименование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CAF14" w14:textId="77777777" w:rsidR="00F20584" w:rsidRPr="00EC2A76" w:rsidRDefault="00F20584" w:rsidP="00AF1100">
            <w:pPr>
              <w:suppressAutoHyphens/>
              <w:snapToGrid w:val="0"/>
              <w:spacing w:after="120"/>
              <w:jc w:val="center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Адрес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68A9" w14:textId="77777777" w:rsidR="00F20584" w:rsidRPr="00EC2A76" w:rsidRDefault="00F20584" w:rsidP="00AF1100">
            <w:pPr>
              <w:suppressAutoHyphens/>
              <w:snapToGrid w:val="0"/>
              <w:spacing w:after="120"/>
              <w:jc w:val="center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Количество точек доступа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DF6F" w14:textId="77777777" w:rsidR="00F20584" w:rsidRPr="00EC2A76" w:rsidRDefault="00F20584" w:rsidP="00AF1100">
            <w:pPr>
              <w:tabs>
                <w:tab w:val="left" w:pos="1951"/>
              </w:tabs>
              <w:suppressAutoHyphens/>
              <w:snapToGrid w:val="0"/>
              <w:spacing w:after="120"/>
              <w:jc w:val="center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Дополнительная информация</w:t>
            </w:r>
          </w:p>
        </w:tc>
      </w:tr>
      <w:tr w:rsidR="00F20584" w:rsidRPr="00EC2A76" w14:paraId="78CF1E92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06CC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BAC5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szCs w:val="20"/>
              </w:rPr>
            </w:pPr>
            <w:r w:rsidRPr="00EC2A76">
              <w:rPr>
                <w:szCs w:val="20"/>
              </w:rPr>
              <w:t>Центральный офис АО «ПСК»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ED84D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>СПб, ул. Михайлова, д. 11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FFC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4E3C" w14:textId="77777777" w:rsidR="00F20584" w:rsidRPr="00EC2A76" w:rsidRDefault="00F20584" w:rsidP="00AF1100">
            <w:pPr>
              <w:tabs>
                <w:tab w:val="left" w:pos="1951"/>
              </w:tabs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>Уточнить на этапе ПИР</w:t>
            </w:r>
          </w:p>
        </w:tc>
      </w:tr>
      <w:tr w:rsidR="00F20584" w:rsidRPr="00EC2A76" w14:paraId="4A27E57D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4D1E2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494E8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szCs w:val="20"/>
              </w:rPr>
            </w:pPr>
            <w:proofErr w:type="spellStart"/>
            <w:r w:rsidRPr="00EC2A76">
              <w:rPr>
                <w:szCs w:val="20"/>
              </w:rPr>
              <w:t>Всеволожское</w:t>
            </w:r>
            <w:proofErr w:type="spellEnd"/>
            <w:r w:rsidRPr="00EC2A76">
              <w:rPr>
                <w:szCs w:val="2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15EE6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 xml:space="preserve">188640, Ленинградская обл. </w:t>
            </w:r>
            <w:proofErr w:type="spellStart"/>
            <w:r w:rsidRPr="00EC2A76">
              <w:rPr>
                <w:szCs w:val="20"/>
              </w:rPr>
              <w:t>г.Всеволожск</w:t>
            </w:r>
            <w:proofErr w:type="spellEnd"/>
            <w:r w:rsidRPr="00EC2A76">
              <w:rPr>
                <w:szCs w:val="20"/>
              </w:rPr>
              <w:t>, Октябрьский пр., д. 89, литер Б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767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B0EA" w14:textId="77777777" w:rsidR="00F20584" w:rsidRPr="00EC2A76" w:rsidRDefault="00F20584" w:rsidP="00AF1100">
            <w:pPr>
              <w:tabs>
                <w:tab w:val="left" w:pos="1951"/>
              </w:tabs>
              <w:suppressAutoHyphens/>
              <w:snapToGrid w:val="0"/>
              <w:spacing w:after="120"/>
              <w:jc w:val="center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782D9046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BB636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A3299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szCs w:val="20"/>
              </w:rPr>
            </w:pPr>
            <w:r w:rsidRPr="00EC2A76">
              <w:rPr>
                <w:color w:val="000000"/>
              </w:rPr>
              <w:t>Выборгское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F086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 xml:space="preserve">188800, Ленинградская область, </w:t>
            </w:r>
            <w:proofErr w:type="spellStart"/>
            <w:r w:rsidRPr="00EC2A76">
              <w:rPr>
                <w:szCs w:val="20"/>
              </w:rPr>
              <w:t>г.Выборг</w:t>
            </w:r>
            <w:proofErr w:type="spellEnd"/>
            <w:r w:rsidRPr="00EC2A76">
              <w:rPr>
                <w:szCs w:val="20"/>
              </w:rPr>
              <w:t>, Северный вал, д.3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0F76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DFFB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5A3A9813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4C372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AA32F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Кингисеппское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339CF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 xml:space="preserve">188480, </w:t>
            </w:r>
            <w:proofErr w:type="spellStart"/>
            <w:r w:rsidRPr="00EC2A76">
              <w:rPr>
                <w:szCs w:val="20"/>
              </w:rPr>
              <w:t>г.Ленинградская</w:t>
            </w:r>
            <w:proofErr w:type="spellEnd"/>
            <w:r w:rsidRPr="00EC2A76">
              <w:rPr>
                <w:szCs w:val="20"/>
              </w:rPr>
              <w:t xml:space="preserve"> обл., </w:t>
            </w:r>
            <w:proofErr w:type="spellStart"/>
            <w:r w:rsidRPr="00EC2A76">
              <w:rPr>
                <w:szCs w:val="20"/>
              </w:rPr>
              <w:t>г.Кингисепп</w:t>
            </w:r>
            <w:proofErr w:type="spellEnd"/>
            <w:r w:rsidRPr="00EC2A76">
              <w:rPr>
                <w:szCs w:val="20"/>
              </w:rPr>
              <w:t xml:space="preserve">, </w:t>
            </w:r>
            <w:proofErr w:type="spellStart"/>
            <w:r w:rsidRPr="00EC2A76">
              <w:rPr>
                <w:szCs w:val="20"/>
              </w:rPr>
              <w:t>ул.М.Гражданская</w:t>
            </w:r>
            <w:proofErr w:type="spellEnd"/>
            <w:r w:rsidRPr="00EC2A76">
              <w:rPr>
                <w:szCs w:val="20"/>
              </w:rPr>
              <w:t>, д.4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9E13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43F9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321DDA88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8EB0B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DCC2E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Волосовский</w:t>
            </w:r>
            <w:proofErr w:type="spellEnd"/>
            <w:r w:rsidRPr="00EC2A76">
              <w:rPr>
                <w:color w:val="000000"/>
              </w:rPr>
              <w:t xml:space="preserve"> участок </w:t>
            </w:r>
            <w:proofErr w:type="spellStart"/>
            <w:r w:rsidRPr="00EC2A76">
              <w:rPr>
                <w:color w:val="000000"/>
              </w:rPr>
              <w:t>Кингисеппского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C99E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szCs w:val="20"/>
              </w:rPr>
              <w:t xml:space="preserve">188410, Ленинградская обл., </w:t>
            </w:r>
            <w:proofErr w:type="spellStart"/>
            <w:r w:rsidRPr="00EC2A76">
              <w:rPr>
                <w:szCs w:val="20"/>
              </w:rPr>
              <w:t>г.Волосово</w:t>
            </w:r>
            <w:proofErr w:type="spellEnd"/>
            <w:r w:rsidRPr="00EC2A76">
              <w:rPr>
                <w:szCs w:val="20"/>
              </w:rPr>
              <w:t xml:space="preserve"> </w:t>
            </w:r>
            <w:proofErr w:type="spellStart"/>
            <w:r w:rsidRPr="00EC2A76">
              <w:rPr>
                <w:szCs w:val="20"/>
              </w:rPr>
              <w:t>пр.Вингиссара</w:t>
            </w:r>
            <w:proofErr w:type="spellEnd"/>
            <w:r w:rsidRPr="00EC2A76">
              <w:rPr>
                <w:szCs w:val="20"/>
              </w:rPr>
              <w:t>, д.89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8220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C34B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1F774015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5556B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6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AC4AF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Сланцевский</w:t>
            </w:r>
            <w:proofErr w:type="spellEnd"/>
            <w:r w:rsidRPr="00EC2A76">
              <w:rPr>
                <w:color w:val="000000"/>
              </w:rPr>
              <w:t xml:space="preserve"> участок </w:t>
            </w:r>
            <w:proofErr w:type="spellStart"/>
            <w:r w:rsidRPr="00EC2A76">
              <w:rPr>
                <w:color w:val="000000"/>
              </w:rPr>
              <w:t>Кингисеппского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84D1C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szCs w:val="20"/>
              </w:rPr>
            </w:pPr>
            <w:r w:rsidRPr="00EC2A76">
              <w:rPr>
                <w:color w:val="000000"/>
              </w:rPr>
              <w:t xml:space="preserve">188450, Ленинградская обл., </w:t>
            </w:r>
            <w:proofErr w:type="spellStart"/>
            <w:r w:rsidRPr="00EC2A76">
              <w:rPr>
                <w:color w:val="000000"/>
              </w:rPr>
              <w:t>г.Сланцы</w:t>
            </w:r>
            <w:proofErr w:type="spellEnd"/>
            <w:r w:rsidRPr="00EC2A76">
              <w:rPr>
                <w:color w:val="000000"/>
              </w:rPr>
              <w:t>, ул. Ленина, д.10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2F55A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50CA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36AED7A4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23248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7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FC707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t>Кировское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32D57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187342, Ленинградская область, </w:t>
            </w:r>
            <w:proofErr w:type="spellStart"/>
            <w:r w:rsidRPr="00EC2A76">
              <w:rPr>
                <w:color w:val="000000"/>
              </w:rPr>
              <w:t>г.Кировск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ул.Энергетиков</w:t>
            </w:r>
            <w:proofErr w:type="spellEnd"/>
            <w:r w:rsidRPr="00EC2A76">
              <w:rPr>
                <w:color w:val="000000"/>
              </w:rPr>
              <w:t>, д.6, пом.1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F1541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56B9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78B2D9F8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37FA6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4F1AC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</w:pPr>
            <w:proofErr w:type="spellStart"/>
            <w:r w:rsidRPr="00EC2A76">
              <w:t>Колпинское</w:t>
            </w:r>
            <w:proofErr w:type="spellEnd"/>
            <w:r w:rsidRPr="00EC2A76"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842C0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196650, </w:t>
            </w:r>
            <w:proofErr w:type="spellStart"/>
            <w:r w:rsidRPr="00EC2A76">
              <w:rPr>
                <w:color w:val="000000"/>
              </w:rPr>
              <w:t>г.Санкт</w:t>
            </w:r>
            <w:proofErr w:type="spellEnd"/>
            <w:r w:rsidRPr="00EC2A76">
              <w:rPr>
                <w:color w:val="000000"/>
              </w:rPr>
              <w:t xml:space="preserve">-Петербург, г. Колпино, ул. Финляндская, д.16, корп.1, </w:t>
            </w:r>
            <w:proofErr w:type="spellStart"/>
            <w:proofErr w:type="gramStart"/>
            <w:r w:rsidRPr="00EC2A76">
              <w:rPr>
                <w:color w:val="000000"/>
              </w:rPr>
              <w:t>лит.А</w:t>
            </w:r>
            <w:proofErr w:type="spellEnd"/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5B5EA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96B7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39420345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10A1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9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CC5BC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</w:pPr>
            <w:r w:rsidRPr="00EC2A76">
              <w:rPr>
                <w:color w:val="000000"/>
              </w:rPr>
              <w:t>Курортное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8BAD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>197706, г. Санкт-Петербург, г. Сестрорецк, ул. Токарева, д.1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2D8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AC40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24D70D37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436B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51E91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Лодейнопольское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29111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187700, Ленинградская обл., </w:t>
            </w:r>
            <w:proofErr w:type="spellStart"/>
            <w:r w:rsidRPr="00EC2A76">
              <w:rPr>
                <w:color w:val="000000"/>
              </w:rPr>
              <w:t>г.Лодейное</w:t>
            </w:r>
            <w:proofErr w:type="spellEnd"/>
            <w:r w:rsidRPr="00EC2A76">
              <w:rPr>
                <w:color w:val="000000"/>
              </w:rPr>
              <w:t xml:space="preserve"> Поле, </w:t>
            </w:r>
            <w:proofErr w:type="spellStart"/>
            <w:r w:rsidRPr="00EC2A76">
              <w:rPr>
                <w:color w:val="000000"/>
              </w:rPr>
              <w:t>ул.Ульяновская</w:t>
            </w:r>
            <w:proofErr w:type="spellEnd"/>
            <w:r w:rsidRPr="00EC2A76">
              <w:rPr>
                <w:color w:val="000000"/>
              </w:rPr>
              <w:t xml:space="preserve"> д.15 корп. 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424B2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B39A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373A9F2D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2AA9B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7DBEA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Лужское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C9785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>188230, Ленинградская область, г. Луга, ул. Железнодорожная, д. 2/6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985D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19D3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4D7EA0E8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4DF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lastRenderedPageBreak/>
              <w:t>1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228E0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Новоладожское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6C8CE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187450, Ленинградская обл., </w:t>
            </w:r>
            <w:proofErr w:type="spellStart"/>
            <w:r w:rsidRPr="00EC2A76">
              <w:rPr>
                <w:color w:val="000000"/>
              </w:rPr>
              <w:t>г.Новая</w:t>
            </w:r>
            <w:proofErr w:type="spellEnd"/>
            <w:r w:rsidRPr="00EC2A76">
              <w:rPr>
                <w:color w:val="000000"/>
              </w:rPr>
              <w:t xml:space="preserve"> Ладога, </w:t>
            </w:r>
            <w:proofErr w:type="spellStart"/>
            <w:r w:rsidRPr="00EC2A76">
              <w:rPr>
                <w:color w:val="000000"/>
              </w:rPr>
              <w:t>ул.Луначарского</w:t>
            </w:r>
            <w:proofErr w:type="spellEnd"/>
            <w:r w:rsidRPr="00EC2A76">
              <w:rPr>
                <w:color w:val="000000"/>
              </w:rPr>
              <w:t>, д.2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5FDA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FFF1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656F2F56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FD4E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7559E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Петродворцово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C74FA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>198510, г. Санкт-Петербург, г. Петродворец, ул. Константиновская, д.8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67D8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BF2F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23674BA4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7D818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A1977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Приозерское</w:t>
            </w:r>
            <w:proofErr w:type="spellEnd"/>
            <w:r w:rsidRPr="00EC2A76">
              <w:rPr>
                <w:color w:val="000000"/>
              </w:rPr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FB0BD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Ленинградская область, </w:t>
            </w:r>
            <w:proofErr w:type="spellStart"/>
            <w:r w:rsidRPr="00EC2A76">
              <w:rPr>
                <w:color w:val="000000"/>
              </w:rPr>
              <w:t>г.Приозерск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ул.Калинина</w:t>
            </w:r>
            <w:proofErr w:type="spellEnd"/>
            <w:r w:rsidRPr="00EC2A76">
              <w:rPr>
                <w:color w:val="000000"/>
              </w:rPr>
              <w:t>, д.51, офис 139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C1994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1136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731A349E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D925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4038D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Сосновский участок Приозерского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8F9EF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188730, Ленинградская обл., </w:t>
            </w:r>
            <w:proofErr w:type="spellStart"/>
            <w:r w:rsidRPr="00EC2A76">
              <w:rPr>
                <w:color w:val="000000"/>
              </w:rPr>
              <w:t>п.Сосново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ул.Механизаторов</w:t>
            </w:r>
            <w:proofErr w:type="spellEnd"/>
            <w:r w:rsidRPr="00EC2A76">
              <w:rPr>
                <w:color w:val="000000"/>
              </w:rPr>
              <w:t>, д.11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2B21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5AA4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500F4CC6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198F1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6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54604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Контролерский пункт Кузнечное Приозерского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BF9F2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188751, Ленинградская </w:t>
            </w:r>
            <w:proofErr w:type="spellStart"/>
            <w:r w:rsidRPr="00EC2A76">
              <w:rPr>
                <w:color w:val="000000"/>
              </w:rPr>
              <w:t>обл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п.Кузнечное</w:t>
            </w:r>
            <w:proofErr w:type="spellEnd"/>
            <w:r w:rsidRPr="00EC2A76">
              <w:rPr>
                <w:color w:val="000000"/>
              </w:rPr>
              <w:t xml:space="preserve">, </w:t>
            </w:r>
            <w:r w:rsidRPr="00EC2A76">
              <w:t>ул. Ладожская, д. 5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08160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E5CA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6DAEF6FB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13253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7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497A9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Пушкинское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AEB77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196608, г. Санкт-Петербург, г. Пушкин, Октябрьский бульвар, д.16, </w:t>
            </w:r>
            <w:proofErr w:type="spellStart"/>
            <w:proofErr w:type="gramStart"/>
            <w:r w:rsidRPr="00EC2A76">
              <w:rPr>
                <w:color w:val="000000"/>
              </w:rPr>
              <w:t>лит.А</w:t>
            </w:r>
            <w:proofErr w:type="spellEnd"/>
            <w:proofErr w:type="gram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7E921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79F8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578753C5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5FDDB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B25E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Рощинское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FAB12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188820, Ленинградская обл., Выборгский р-н, </w:t>
            </w:r>
            <w:proofErr w:type="spellStart"/>
            <w:r w:rsidRPr="00EC2A76">
              <w:rPr>
                <w:color w:val="000000"/>
              </w:rPr>
              <w:t>п.Рощино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ул.Советская</w:t>
            </w:r>
            <w:proofErr w:type="spellEnd"/>
            <w:r w:rsidRPr="00EC2A76">
              <w:rPr>
                <w:color w:val="000000"/>
              </w:rPr>
              <w:t>, д.57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B318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8C97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57647A02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5A160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>
              <w:rPr>
                <w:b/>
                <w:szCs w:val="20"/>
              </w:rPr>
              <w:t>19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CE6E5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t>Сертоловское</w:t>
            </w:r>
            <w:proofErr w:type="spellEnd"/>
            <w:r w:rsidRPr="00EC2A76">
              <w:t xml:space="preserve">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2C552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188655, Ленинградская обл., </w:t>
            </w:r>
            <w:proofErr w:type="spellStart"/>
            <w:r w:rsidRPr="00EC2A76">
              <w:rPr>
                <w:color w:val="000000"/>
              </w:rPr>
              <w:t>г.Сертолово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ул.Школьная</w:t>
            </w:r>
            <w:proofErr w:type="spellEnd"/>
            <w:r w:rsidRPr="00EC2A76">
              <w:rPr>
                <w:color w:val="000000"/>
              </w:rPr>
              <w:t>, д.2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A45E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239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5C966B8C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98EB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5FE11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</w:pPr>
            <w:r w:rsidRPr="00EC2A76">
              <w:rPr>
                <w:color w:val="000000"/>
              </w:rPr>
              <w:t>Тихвинское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0B35C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187550, Ленинградская обл., </w:t>
            </w:r>
            <w:proofErr w:type="spellStart"/>
            <w:r w:rsidRPr="00EC2A76">
              <w:rPr>
                <w:color w:val="000000"/>
              </w:rPr>
              <w:t>г.Тихвин</w:t>
            </w:r>
            <w:proofErr w:type="spellEnd"/>
            <w:r w:rsidRPr="00EC2A76">
              <w:rPr>
                <w:color w:val="000000"/>
              </w:rPr>
              <w:t>, 1 «А» микрорайон, д.37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D9A74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194C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74317F07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8CC4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18149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Ефимовский участок Тихвинского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9778F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187620, Ленинградская </w:t>
            </w:r>
            <w:proofErr w:type="spellStart"/>
            <w:proofErr w:type="gramStart"/>
            <w:r w:rsidRPr="00EC2A76">
              <w:rPr>
                <w:color w:val="000000"/>
              </w:rPr>
              <w:t>обл</w:t>
            </w:r>
            <w:proofErr w:type="spellEnd"/>
            <w:r w:rsidRPr="00EC2A76">
              <w:rPr>
                <w:color w:val="000000"/>
              </w:rPr>
              <w:t>,,</w:t>
            </w:r>
            <w:proofErr w:type="gramEnd"/>
            <w:r w:rsidRPr="00EC2A76">
              <w:rPr>
                <w:color w:val="000000"/>
              </w:rPr>
              <w:t xml:space="preserve"> </w:t>
            </w:r>
            <w:proofErr w:type="spellStart"/>
            <w:r w:rsidRPr="00EC2A76">
              <w:rPr>
                <w:color w:val="000000"/>
              </w:rPr>
              <w:t>п.Ефимовский</w:t>
            </w:r>
            <w:proofErr w:type="spellEnd"/>
            <w:r w:rsidRPr="00EC2A76">
              <w:rPr>
                <w:color w:val="000000"/>
              </w:rPr>
              <w:t>, 1 микрорайон, д.11а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C589B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F9DF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4AB27B7B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33764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C27C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proofErr w:type="spellStart"/>
            <w:r w:rsidRPr="00EC2A76">
              <w:rPr>
                <w:color w:val="000000"/>
              </w:rPr>
              <w:t>Пикалевский</w:t>
            </w:r>
            <w:proofErr w:type="spellEnd"/>
            <w:r w:rsidRPr="00EC2A76">
              <w:rPr>
                <w:color w:val="000000"/>
              </w:rPr>
              <w:t xml:space="preserve"> контролерский пункт Тихвинского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1C9A4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 xml:space="preserve">187600, Ленинградская обл., </w:t>
            </w:r>
            <w:proofErr w:type="spellStart"/>
            <w:r w:rsidRPr="00EC2A76">
              <w:rPr>
                <w:color w:val="000000"/>
              </w:rPr>
              <w:t>п.Пикалево</w:t>
            </w:r>
            <w:proofErr w:type="spellEnd"/>
            <w:r w:rsidRPr="00EC2A76">
              <w:rPr>
                <w:color w:val="000000"/>
              </w:rPr>
              <w:t xml:space="preserve">, </w:t>
            </w:r>
            <w:proofErr w:type="spellStart"/>
            <w:r w:rsidRPr="00EC2A76">
              <w:rPr>
                <w:color w:val="000000"/>
              </w:rPr>
              <w:t>ул.Заводская</w:t>
            </w:r>
            <w:proofErr w:type="spellEnd"/>
            <w:r w:rsidRPr="00EC2A76">
              <w:rPr>
                <w:color w:val="000000"/>
              </w:rPr>
              <w:t xml:space="preserve"> д.11 лит А 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7412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81B3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400CC16B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7F42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E472C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Тосненское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D3601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>187000, г. Тосно, ул. Энергетиков, д. 7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A817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717D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  <w:tr w:rsidR="00F20584" w:rsidRPr="00EC2A76" w14:paraId="7DDB20BF" w14:textId="77777777" w:rsidTr="00AF1100">
        <w:trPr>
          <w:gridBefore w:val="1"/>
          <w:gridAfter w:val="1"/>
          <w:wBefore w:w="110" w:type="dxa"/>
          <w:wAfter w:w="119" w:type="dxa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50D1F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583"/>
              <w:rPr>
                <w:b/>
                <w:szCs w:val="20"/>
              </w:rPr>
            </w:pPr>
            <w:r w:rsidRPr="00EC2A7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43A3" w14:textId="77777777" w:rsidR="00F20584" w:rsidRPr="00EC2A76" w:rsidRDefault="00F20584" w:rsidP="00AF1100">
            <w:pPr>
              <w:suppressAutoHyphens/>
              <w:snapToGrid w:val="0"/>
              <w:spacing w:after="120"/>
              <w:jc w:val="both"/>
              <w:rPr>
                <w:color w:val="000000"/>
              </w:rPr>
            </w:pPr>
            <w:r w:rsidRPr="00EC2A76">
              <w:rPr>
                <w:color w:val="000000"/>
              </w:rPr>
              <w:t>Гатчинский участок Тосненского ОСЭ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0BB34" w14:textId="77777777" w:rsidR="00F20584" w:rsidRPr="00EC2A76" w:rsidRDefault="00F20584" w:rsidP="00AF1100">
            <w:pPr>
              <w:suppressAutoHyphens/>
              <w:snapToGrid w:val="0"/>
              <w:spacing w:after="120"/>
              <w:rPr>
                <w:color w:val="000000"/>
              </w:rPr>
            </w:pPr>
            <w:r w:rsidRPr="00EC2A76">
              <w:rPr>
                <w:color w:val="000000"/>
              </w:rPr>
              <w:t>188300, г. Гатчина, ул. Старая дорога, д.2 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7E74" w14:textId="77777777" w:rsidR="00F20584" w:rsidRPr="00EC2A76" w:rsidRDefault="00F20584" w:rsidP="00AF1100">
            <w:pPr>
              <w:suppressAutoHyphens/>
              <w:snapToGrid w:val="0"/>
              <w:spacing w:after="120"/>
              <w:ind w:firstLine="467"/>
              <w:rPr>
                <w:szCs w:val="20"/>
              </w:rPr>
            </w:pPr>
            <w:r w:rsidRPr="00EC2A76">
              <w:rPr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E356" w14:textId="77777777" w:rsidR="00F20584" w:rsidRPr="00EC2A76" w:rsidRDefault="00F20584" w:rsidP="00AF1100">
            <w:pPr>
              <w:suppressAutoHyphens/>
              <w:ind w:left="835"/>
              <w:rPr>
                <w:szCs w:val="20"/>
              </w:rPr>
            </w:pPr>
            <w:r w:rsidRPr="00EC2A76">
              <w:rPr>
                <w:szCs w:val="20"/>
              </w:rPr>
              <w:t>--//--</w:t>
            </w:r>
          </w:p>
        </w:tc>
      </w:tr>
    </w:tbl>
    <w:p w14:paraId="5A843CAA" w14:textId="77777777" w:rsidR="00F20584" w:rsidRDefault="00F20584" w:rsidP="00F20584">
      <w:pPr>
        <w:keepNext/>
        <w:widowControl w:val="0"/>
        <w:tabs>
          <w:tab w:val="num" w:pos="432"/>
        </w:tabs>
        <w:suppressAutoHyphens/>
        <w:autoSpaceDE w:val="0"/>
        <w:autoSpaceDN w:val="0"/>
        <w:ind w:left="432" w:hanging="432"/>
        <w:jc w:val="center"/>
        <w:outlineLvl w:val="0"/>
        <w:rPr>
          <w:b/>
          <w:bCs/>
          <w:kern w:val="32"/>
          <w:lang w:eastAsia="ru-RU"/>
        </w:rPr>
      </w:pPr>
    </w:p>
    <w:p w14:paraId="1A1EA03C" w14:textId="77777777" w:rsidR="00F72E35" w:rsidRDefault="00F72E35">
      <w:pPr>
        <w:jc w:val="both"/>
        <w:rPr>
          <w:color w:val="000000"/>
          <w:sz w:val="20"/>
          <w:szCs w:val="20"/>
        </w:rPr>
      </w:pPr>
    </w:p>
    <w:p w14:paraId="23F5DCBD" w14:textId="13315DBA" w:rsidR="00F72E35" w:rsidRDefault="00735297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BC4CC6">
        <w:rPr>
          <w:b/>
          <w:sz w:val="32"/>
          <w:szCs w:val="32"/>
          <w:vertAlign w:val="superscript"/>
        </w:rPr>
        <w:t>3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2A220851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76A5D41A" w14:textId="4CB4F3CB" w:rsidR="00F72E35" w:rsidRDefault="00735297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</w:t>
      </w:r>
      <w:proofErr w:type="gramStart"/>
      <w:r>
        <w:rPr>
          <w:rFonts w:eastAsiaTheme="minorHAnsi"/>
          <w:sz w:val="22"/>
          <w:szCs w:val="22"/>
          <w:vertAlign w:val="superscript"/>
          <w:lang w:eastAsia="en-US"/>
        </w:rPr>
        <w:t>_»_</w:t>
      </w:r>
      <w:proofErr w:type="gramEnd"/>
      <w:r>
        <w:rPr>
          <w:rFonts w:eastAsiaTheme="minorHAnsi"/>
          <w:sz w:val="22"/>
          <w:szCs w:val="22"/>
          <w:vertAlign w:val="superscript"/>
          <w:lang w:eastAsia="en-US"/>
        </w:rPr>
        <w:t>____________ 20</w:t>
      </w:r>
      <w:r w:rsidR="00F20584">
        <w:rPr>
          <w:rFonts w:eastAsiaTheme="minorHAnsi"/>
          <w:sz w:val="22"/>
          <w:szCs w:val="22"/>
          <w:vertAlign w:val="superscript"/>
          <w:lang w:eastAsia="en-US"/>
        </w:rPr>
        <w:t>23</w:t>
      </w:r>
      <w:r>
        <w:rPr>
          <w:rFonts w:eastAsiaTheme="minorHAnsi"/>
          <w:sz w:val="22"/>
          <w:szCs w:val="22"/>
          <w:vertAlign w:val="superscript"/>
          <w:lang w:eastAsia="en-US"/>
        </w:rPr>
        <w:t> г.  №_______</w:t>
      </w:r>
    </w:p>
    <w:p w14:paraId="52C6F0FD" w14:textId="77777777" w:rsidR="00F72E35" w:rsidRDefault="00735297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Коммерческое предложение</w:t>
      </w:r>
    </w:p>
    <w:p w14:paraId="35180A61" w14:textId="79FC9AA0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DE5C23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7652F75D" w14:textId="77777777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Номер и наименование </w:t>
      </w:r>
      <w:proofErr w:type="gramStart"/>
      <w:r>
        <w:rPr>
          <w:rFonts w:eastAsiaTheme="minorHAnsi"/>
          <w:color w:val="000000"/>
          <w:sz w:val="22"/>
          <w:szCs w:val="22"/>
          <w:lang w:eastAsia="en-US"/>
        </w:rPr>
        <w:t>лота:_</w:t>
      </w:r>
      <w:proofErr w:type="gramEnd"/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</w:t>
      </w:r>
    </w:p>
    <w:tbl>
      <w:tblPr>
        <w:tblW w:w="1059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056"/>
        <w:gridCol w:w="1488"/>
        <w:gridCol w:w="1230"/>
        <w:gridCol w:w="1518"/>
        <w:gridCol w:w="1554"/>
        <w:gridCol w:w="751"/>
      </w:tblGrid>
      <w:tr w:rsidR="00F20584" w:rsidRPr="00EF09D3" w14:paraId="1F43102C" w14:textId="77777777" w:rsidTr="00AF1100">
        <w:trPr>
          <w:trHeight w:val="810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3E5EA" w14:textId="6DB0A214" w:rsidR="00F20584" w:rsidRDefault="00F20584" w:rsidP="00AF1100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Р</w:t>
            </w:r>
            <w:r w:rsidRPr="00EB7BCE">
              <w:rPr>
                <w:bCs/>
                <w:lang w:eastAsia="ru-RU"/>
              </w:rPr>
              <w:t>абот</w:t>
            </w:r>
            <w:r>
              <w:rPr>
                <w:bCs/>
                <w:lang w:eastAsia="ru-RU"/>
              </w:rPr>
              <w:t>ы</w:t>
            </w:r>
            <w:r w:rsidRPr="00EB7BCE">
              <w:rPr>
                <w:bCs/>
                <w:lang w:eastAsia="ru-RU"/>
              </w:rPr>
              <w:t xml:space="preserve"> по созданию системы контроля управления доступом в центральном офисе и клиентских отделениях</w:t>
            </w:r>
            <w:r w:rsidRPr="00EF09D3">
              <w:rPr>
                <w:lang w:eastAsia="ru-RU"/>
              </w:rPr>
              <w:t xml:space="preserve"> по сбыту электроэнергии АО «Петербургская сбытовая компания» </w:t>
            </w:r>
          </w:p>
          <w:p w14:paraId="5EB80EE2" w14:textId="77777777" w:rsidR="00F20584" w:rsidRDefault="00F20584" w:rsidP="00AF110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Приложением № 1 к Договору)</w:t>
            </w:r>
          </w:p>
          <w:p w14:paraId="561FDBE0" w14:textId="77777777" w:rsidR="00F20584" w:rsidRPr="00EF09D3" w:rsidRDefault="00F20584" w:rsidP="00AF110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20584" w:rsidRPr="00EF09D3" w14:paraId="5C95B547" w14:textId="77777777" w:rsidTr="00F20584">
        <w:trPr>
          <w:gridAfter w:val="1"/>
          <w:wAfter w:w="749" w:type="dxa"/>
          <w:trHeight w:val="12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1BC2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Название системы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CF0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оборудования, материалов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23C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ПИР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57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СМР, ПНР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654B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>Общая стоимость без НДС, руб.</w:t>
            </w:r>
          </w:p>
        </w:tc>
      </w:tr>
      <w:tr w:rsidR="00F20584" w:rsidRPr="00EF09D3" w14:paraId="3DB3AC08" w14:textId="77777777" w:rsidTr="00F20584">
        <w:trPr>
          <w:gridAfter w:val="1"/>
          <w:wAfter w:w="749" w:type="dxa"/>
          <w:trHeight w:val="3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461F" w14:textId="77777777" w:rsidR="00F20584" w:rsidRPr="00EF09D3" w:rsidRDefault="00F20584" w:rsidP="00AF1100">
            <w:pPr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>Работы по</w:t>
            </w:r>
            <w:r w:rsidRPr="00CA5A5F">
              <w:rPr>
                <w:sz w:val="20"/>
                <w:szCs w:val="20"/>
                <w:lang w:eastAsia="ru-RU"/>
              </w:rPr>
              <w:t xml:space="preserve"> созданию системы контроля управления доступом в центральном офисе и клиентских отделениях по сбыту электроэнергии АО «Петербургская сбытовая компания»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1198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B14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18C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393A4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F281C66" w14:textId="77777777" w:rsidTr="00AF1100">
        <w:trPr>
          <w:gridAfter w:val="1"/>
          <w:wAfter w:w="749" w:type="dxa"/>
          <w:trHeight w:val="285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844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  <w:r w:rsidRPr="00EF09D3">
              <w:rPr>
                <w:b/>
                <w:bCs/>
                <w:lang w:eastAsia="ru-RU"/>
              </w:rPr>
              <w:t>ВСЕГО без учета НДС,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60D1" w14:textId="77777777" w:rsidR="00F20584" w:rsidRPr="008E15FA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0584" w:rsidRPr="0018369F" w14:paraId="38268D55" w14:textId="77777777" w:rsidTr="00AF1100">
        <w:trPr>
          <w:gridAfter w:val="1"/>
          <w:wAfter w:w="749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533E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  <w:proofErr w:type="gramStart"/>
            <w:r w:rsidRPr="00EF09D3">
              <w:rPr>
                <w:lang w:eastAsia="ru-RU"/>
              </w:rPr>
              <w:t>Кроме того</w:t>
            </w:r>
            <w:proofErr w:type="gramEnd"/>
            <w:r w:rsidRPr="00EF09D3">
              <w:rPr>
                <w:lang w:eastAsia="ru-RU"/>
              </w:rPr>
              <w:t xml:space="preserve"> НДС - 20%,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4315D" w14:textId="77777777" w:rsidR="00F20584" w:rsidRPr="0018369F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1845396" w14:textId="77777777" w:rsidTr="00AF1100">
        <w:trPr>
          <w:gridAfter w:val="1"/>
          <w:wAfter w:w="749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D9D5" w14:textId="77777777" w:rsidR="00F20584" w:rsidRPr="00EF09D3" w:rsidRDefault="00F20584" w:rsidP="00AF1100">
            <w:pPr>
              <w:jc w:val="center"/>
              <w:rPr>
                <w:b/>
                <w:lang w:eastAsia="ru-RU"/>
              </w:rPr>
            </w:pPr>
            <w:r w:rsidRPr="00EF09D3">
              <w:rPr>
                <w:b/>
                <w:lang w:eastAsia="ru-RU"/>
              </w:rPr>
              <w:t>ВСЕГО с учетом НДС - 20%, рублей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A61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0584" w:rsidRPr="00EF09D3" w14:paraId="6FE52117" w14:textId="77777777" w:rsidTr="00AF1100">
        <w:trPr>
          <w:gridAfter w:val="1"/>
          <w:wAfter w:w="749" w:type="dxa"/>
          <w:trHeight w:val="300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5591" w14:textId="77777777" w:rsidR="00F20584" w:rsidRPr="00EF09D3" w:rsidRDefault="00F20584" w:rsidP="00AF1100">
            <w:pPr>
              <w:jc w:val="right"/>
              <w:rPr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A8A3C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5E6E8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1439" w14:textId="77777777" w:rsidR="00F20584" w:rsidRPr="00EF09D3" w:rsidRDefault="00F20584" w:rsidP="00AF1100">
            <w:pPr>
              <w:rPr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C7C31" w14:textId="77777777" w:rsidR="00F20584" w:rsidRPr="00EF09D3" w:rsidRDefault="00F20584" w:rsidP="00AF1100">
            <w:pPr>
              <w:rPr>
                <w:b/>
                <w:bCs/>
                <w:lang w:eastAsia="ru-RU"/>
              </w:rPr>
            </w:pPr>
          </w:p>
        </w:tc>
      </w:tr>
      <w:tr w:rsidR="00F20584" w:rsidRPr="00EF09D3" w14:paraId="01E46E60" w14:textId="77777777" w:rsidTr="00AF1100">
        <w:trPr>
          <w:trHeight w:val="255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35F86" w14:textId="77777777" w:rsidR="00F20584" w:rsidRPr="00EF09D3" w:rsidRDefault="00F20584" w:rsidP="00AF1100">
            <w:pPr>
              <w:ind w:firstLine="252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</w:tbl>
    <w:p w14:paraId="035772CD" w14:textId="77777777" w:rsidR="00F72E35" w:rsidRDefault="00F72E35"/>
    <w:p w14:paraId="4CDBCE15" w14:textId="77777777" w:rsidR="00F72E35" w:rsidRDefault="00735297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Итого: ______________</w:t>
      </w:r>
      <w:proofErr w:type="gramStart"/>
      <w:r>
        <w:rPr>
          <w:color w:val="000000" w:themeColor="text1"/>
          <w:sz w:val="28"/>
        </w:rPr>
        <w:t>_(</w:t>
      </w:r>
      <w:proofErr w:type="gramEnd"/>
      <w:r>
        <w:rPr>
          <w:color w:val="000000" w:themeColor="text1"/>
          <w:sz w:val="28"/>
        </w:rPr>
        <w:t>_______________________) рублей  __ копеек.</w:t>
      </w:r>
    </w:p>
    <w:p w14:paraId="277DCA88" w14:textId="77777777" w:rsidR="00F72E35" w:rsidRDefault="00735297">
      <w:pPr>
        <w:ind w:left="709" w:firstLine="709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Указывается общая стоимость услуг по договору за весь период.</w:t>
      </w:r>
    </w:p>
    <w:p w14:paraId="1FCF8126" w14:textId="77777777" w:rsidR="00F72E35" w:rsidRDefault="00F72E35">
      <w:pPr>
        <w:ind w:firstLine="567"/>
        <w:jc w:val="both"/>
        <w:rPr>
          <w:color w:val="000000" w:themeColor="text1"/>
          <w:sz w:val="28"/>
        </w:rPr>
      </w:pPr>
    </w:p>
    <w:p w14:paraId="769A5C0E" w14:textId="0BD3BD7B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5518D187" w14:textId="342B0A93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72417DC5" w14:textId="5582DCA3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18572C9D" w14:textId="63573CE1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24C76645" w14:textId="10AB3970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13C74566" w14:textId="5EBE0703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3B1FD754" w14:textId="4F94982B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129E7D9E" w14:textId="6545E1A0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44ED9F0D" w14:textId="6AFB8D16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4F607D40" w14:textId="43B1EE9F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1C1C1298" w14:textId="7C0219F9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77AB4D9B" w14:textId="01CD1FBC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35471C7B" w14:textId="041C6279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1BCFADC9" w14:textId="77777777" w:rsidR="00426A15" w:rsidRDefault="00426A15">
      <w:pPr>
        <w:jc w:val="right"/>
        <w:rPr>
          <w:b/>
          <w:sz w:val="32"/>
          <w:szCs w:val="32"/>
          <w:vertAlign w:val="superscript"/>
        </w:rPr>
      </w:pPr>
    </w:p>
    <w:p w14:paraId="4D855A0E" w14:textId="77777777" w:rsidR="00426A15" w:rsidRDefault="00426A15">
      <w:p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br w:type="page"/>
      </w:r>
    </w:p>
    <w:p w14:paraId="4744469F" w14:textId="77777777" w:rsidR="00426A15" w:rsidRDefault="00426A15" w:rsidP="00426A15">
      <w:pPr>
        <w:jc w:val="right"/>
        <w:rPr>
          <w:b/>
          <w:sz w:val="32"/>
          <w:szCs w:val="32"/>
          <w:vertAlign w:val="superscript"/>
        </w:rPr>
        <w:sectPr w:rsidR="00426A15">
          <w:pgSz w:w="11906" w:h="16838"/>
          <w:pgMar w:top="1134" w:right="567" w:bottom="822" w:left="1134" w:header="720" w:footer="720" w:gutter="0"/>
          <w:cols w:space="720"/>
          <w:docGrid w:linePitch="360"/>
        </w:sectPr>
      </w:pPr>
    </w:p>
    <w:p w14:paraId="17D7F676" w14:textId="21560D4B" w:rsidR="00426A15" w:rsidRDefault="00426A15" w:rsidP="00426A15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4 к Техническому заданию </w:t>
      </w:r>
    </w:p>
    <w:p w14:paraId="2B98993C" w14:textId="77777777" w:rsidR="00426A15" w:rsidRDefault="00426A15" w:rsidP="00426A15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</w:t>
      </w:r>
      <w:proofErr w:type="gramStart"/>
      <w:r>
        <w:rPr>
          <w:rFonts w:eastAsiaTheme="minorHAnsi"/>
          <w:sz w:val="22"/>
          <w:szCs w:val="22"/>
          <w:vertAlign w:val="superscript"/>
          <w:lang w:eastAsia="en-US"/>
        </w:rPr>
        <w:t>_»_</w:t>
      </w:r>
      <w:proofErr w:type="gramEnd"/>
      <w:r>
        <w:rPr>
          <w:rFonts w:eastAsiaTheme="minorHAnsi"/>
          <w:sz w:val="22"/>
          <w:szCs w:val="22"/>
          <w:vertAlign w:val="superscript"/>
          <w:lang w:eastAsia="en-US"/>
        </w:rPr>
        <w:t>____________ 2023 г.  №_______</w:t>
      </w:r>
    </w:p>
    <w:p w14:paraId="183B6CDD" w14:textId="2099A844" w:rsidR="00426A15" w:rsidRDefault="00426A15" w:rsidP="00426A15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Спецификация оборудования и материалов</w:t>
      </w:r>
    </w:p>
    <w:p w14:paraId="3ACC1A80" w14:textId="2FBDD9EE" w:rsidR="00426A15" w:rsidRDefault="00426A15" w:rsidP="00426A15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DE5C23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43216D87" w14:textId="77777777" w:rsidR="00426A15" w:rsidRDefault="00426A15" w:rsidP="00426A15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Номер и наименование </w:t>
      </w:r>
      <w:proofErr w:type="gramStart"/>
      <w:r>
        <w:rPr>
          <w:rFonts w:eastAsiaTheme="minorHAnsi"/>
          <w:color w:val="000000"/>
          <w:sz w:val="22"/>
          <w:szCs w:val="22"/>
          <w:lang w:eastAsia="en-US"/>
        </w:rPr>
        <w:t>лота:_</w:t>
      </w:r>
      <w:proofErr w:type="gramEnd"/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</w:t>
      </w:r>
    </w:p>
    <w:tbl>
      <w:tblPr>
        <w:tblW w:w="1556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5561"/>
      </w:tblGrid>
      <w:tr w:rsidR="00426A15" w:rsidRPr="00EF09D3" w14:paraId="17D8145F" w14:textId="77777777" w:rsidTr="00426A15">
        <w:trPr>
          <w:trHeight w:val="810"/>
        </w:trPr>
        <w:tc>
          <w:tcPr>
            <w:tcW w:w="15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53F57" w14:textId="77777777" w:rsidR="00426A15" w:rsidRDefault="00426A15" w:rsidP="00FF769B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Р</w:t>
            </w:r>
            <w:r w:rsidRPr="00EB7BCE">
              <w:rPr>
                <w:bCs/>
                <w:lang w:eastAsia="ru-RU"/>
              </w:rPr>
              <w:t>абот</w:t>
            </w:r>
            <w:r>
              <w:rPr>
                <w:bCs/>
                <w:lang w:eastAsia="ru-RU"/>
              </w:rPr>
              <w:t>ы</w:t>
            </w:r>
            <w:r w:rsidRPr="00EB7BCE">
              <w:rPr>
                <w:bCs/>
                <w:lang w:eastAsia="ru-RU"/>
              </w:rPr>
              <w:t xml:space="preserve"> по созданию системы контроля управления доступом в центральном офисе и клиентских отделениях</w:t>
            </w:r>
            <w:r w:rsidRPr="00EF09D3">
              <w:rPr>
                <w:lang w:eastAsia="ru-RU"/>
              </w:rPr>
              <w:t xml:space="preserve"> по сбыту электроэнергии </w:t>
            </w:r>
          </w:p>
          <w:p w14:paraId="7473A364" w14:textId="51C9FB29" w:rsidR="00426A15" w:rsidRDefault="00426A15" w:rsidP="00FF769B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 xml:space="preserve">АО «Петербургская сбытовая компания» </w:t>
            </w:r>
          </w:p>
          <w:p w14:paraId="13501AE2" w14:textId="77777777" w:rsidR="00426A15" w:rsidRDefault="00426A15" w:rsidP="00FF76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Приложением № 1 к Договору)</w:t>
            </w:r>
          </w:p>
          <w:p w14:paraId="3085EACE" w14:textId="77777777" w:rsidR="00426A15" w:rsidRDefault="00426A15" w:rsidP="00FF769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7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6040"/>
              <w:gridCol w:w="1960"/>
              <w:gridCol w:w="1960"/>
              <w:gridCol w:w="1060"/>
              <w:gridCol w:w="1060"/>
              <w:gridCol w:w="1060"/>
              <w:gridCol w:w="1060"/>
            </w:tblGrid>
            <w:tr w:rsidR="00426A15" w14:paraId="509EE7C4" w14:textId="77777777" w:rsidTr="00426A15">
              <w:trPr>
                <w:trHeight w:val="120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3F75E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593F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 материала / комплектующих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B0549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Модель / производитель / технические характеристики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969A16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Страна происхождения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A20C4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E6BF7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40D0F4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Цена за ед. руб. без НДС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9CDB89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>
                    <w:rPr>
                      <w:color w:val="000000"/>
                      <w:sz w:val="22"/>
                      <w:szCs w:val="22"/>
                    </w:rPr>
                    <w:t>Сумма  руб.</w:t>
                  </w:r>
                  <w:proofErr w:type="gramEnd"/>
                  <w:r>
                    <w:rPr>
                      <w:color w:val="000000"/>
                      <w:sz w:val="22"/>
                      <w:szCs w:val="22"/>
                    </w:rPr>
                    <w:t xml:space="preserve"> без НДС</w:t>
                  </w:r>
                </w:p>
              </w:tc>
            </w:tr>
            <w:tr w:rsidR="00426A15" w14:paraId="660EF0E7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E319A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31D443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Контроллер СКУД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8D6CC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451C63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ED85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F057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130A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D40D4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1068D7A7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3CB504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95842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Считыватель карт доступа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BBB4D8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158647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CD3A6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5FE0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2FE588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55DB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679B0A7C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5CE8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71C97E" w14:textId="1BEC1DCD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</w:t>
                  </w:r>
                  <w:r w:rsidR="00DE5C23">
                    <w:rPr>
                      <w:color w:val="000000"/>
                      <w:sz w:val="22"/>
                      <w:szCs w:val="22"/>
                    </w:rPr>
                    <w:t>с</w:t>
                  </w:r>
                  <w:r>
                    <w:rPr>
                      <w:color w:val="000000"/>
                      <w:sz w:val="22"/>
                      <w:szCs w:val="22"/>
                    </w:rPr>
                    <w:t>тольный считыватель карт доступа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4BD18C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B2BB7B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CF2C6F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8747E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C9DB4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DA33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179AF571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EE15F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E1D57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Бесконтактная карта доступа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4886AC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6335D3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4A21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9C10C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D28EA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78BC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4017C7C7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6ABE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E353C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Замок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0CF0A0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77FBF1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95A3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D7C29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50A1AE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731A2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3B2DC270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57F269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FB8D2C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Источник бесперебойного питания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3A187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8C25D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852941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C5052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F22BF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E465A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2DC14643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89110F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06C80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Вспомогательное оборудование и материалы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2F5499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D5337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FE327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компл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E2854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20A9C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1ED440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414E8DBD" w14:textId="77777777" w:rsidTr="00426A15">
              <w:trPr>
                <w:trHeight w:val="6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B135D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BF145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Автоматизированное рабочее место СКУД (аппаратная часть)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13AE51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359DA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AE6C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240707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E944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FC121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5F58BBAD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06AE4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31A7DD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Программное обеспечение СКУД в составе: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186A7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78571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7128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F5E2C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8CAB9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0292F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024C47DC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4C040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F04060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276A6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E74A0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D126B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B859C1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581482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79F70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284EE3B0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6D70EE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922DAA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EC41F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6D2A6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BE7A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638242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8F079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E2B4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22C6167E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81A6CF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E9452B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F40BC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335C64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C37FA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AC4EE1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AFE82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E282F1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26A15" w14:paraId="7B4813D4" w14:textId="77777777" w:rsidTr="00426A1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9A96E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5A9A5" w14:textId="77777777" w:rsidR="00426A15" w:rsidRDefault="00426A15" w:rsidP="00426A1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09D9C3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F3D7DF" w14:textId="77777777" w:rsidR="00426A15" w:rsidRDefault="00426A15" w:rsidP="00426A1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D4B2D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29A38F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49737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D9F2E5" w14:textId="77777777" w:rsidR="00426A15" w:rsidRDefault="00426A15" w:rsidP="00426A1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032404C8" w14:textId="1C8DAF37" w:rsidR="00426A15" w:rsidRPr="00EF09D3" w:rsidRDefault="00426A15" w:rsidP="00FF769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9648FA2" w14:textId="19A85667" w:rsidR="00426A15" w:rsidRDefault="00426A15" w:rsidP="00426A15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Итого: </w:t>
      </w:r>
      <w:r w:rsidR="005E29D9">
        <w:rPr>
          <w:color w:val="000000" w:themeColor="text1"/>
          <w:sz w:val="28"/>
        </w:rPr>
        <w:t>_____________________________</w:t>
      </w:r>
      <w:proofErr w:type="gramStart"/>
      <w:r w:rsidR="005E29D9">
        <w:rPr>
          <w:color w:val="000000" w:themeColor="text1"/>
          <w:sz w:val="28"/>
        </w:rPr>
        <w:t>_(</w:t>
      </w:r>
      <w:proofErr w:type="gramEnd"/>
      <w:r w:rsidR="005E29D9">
        <w:rPr>
          <w:color w:val="000000" w:themeColor="text1"/>
          <w:sz w:val="28"/>
        </w:rPr>
        <w:t xml:space="preserve">_______________________) </w:t>
      </w:r>
      <w:r>
        <w:rPr>
          <w:color w:val="000000" w:themeColor="text1"/>
          <w:sz w:val="28"/>
        </w:rPr>
        <w:t>рублей  __ копеек без учета НДС.</w:t>
      </w:r>
    </w:p>
    <w:p w14:paraId="1ACA6958" w14:textId="05CFAFC6" w:rsidR="00F72E35" w:rsidRDefault="00F72E35"/>
    <w:p w14:paraId="0B96F601" w14:textId="39684B3F" w:rsidR="00FF769B" w:rsidRDefault="00FF769B"/>
    <w:p w14:paraId="2FFB4ACC" w14:textId="77777777" w:rsidR="00FF769B" w:rsidRDefault="00FF769B">
      <w:pPr>
        <w:sectPr w:rsidR="00FF769B" w:rsidSect="00426A15">
          <w:pgSz w:w="16838" w:h="11906" w:orient="landscape"/>
          <w:pgMar w:top="1134" w:right="1134" w:bottom="567" w:left="822" w:header="720" w:footer="720" w:gutter="0"/>
          <w:cols w:space="720"/>
          <w:docGrid w:linePitch="360"/>
        </w:sectPr>
      </w:pPr>
    </w:p>
    <w:p w14:paraId="262ABDDD" w14:textId="62ED6916" w:rsidR="00A95E51" w:rsidRDefault="00A95E51" w:rsidP="004C03F2">
      <w:pPr>
        <w:jc w:val="right"/>
        <w:rPr>
          <w:b/>
          <w:sz w:val="32"/>
          <w:szCs w:val="32"/>
          <w:vertAlign w:val="superscript"/>
        </w:rPr>
      </w:pPr>
      <w:r w:rsidRPr="00A95E51"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>
        <w:rPr>
          <w:b/>
          <w:sz w:val="32"/>
          <w:szCs w:val="32"/>
          <w:vertAlign w:val="superscript"/>
          <w:lang w:val="en-US"/>
        </w:rPr>
        <w:t>5</w:t>
      </w:r>
      <w:r w:rsidRPr="00A95E51">
        <w:rPr>
          <w:b/>
          <w:sz w:val="32"/>
          <w:szCs w:val="32"/>
          <w:vertAlign w:val="superscript"/>
        </w:rPr>
        <w:t xml:space="preserve"> к Техническому заданию</w:t>
      </w:r>
    </w:p>
    <w:p w14:paraId="6A402043" w14:textId="15708C53" w:rsidR="00A95E51" w:rsidRPr="00A95E51" w:rsidRDefault="00A95E51" w:rsidP="00A95E51">
      <w:pPr>
        <w:spacing w:beforeLines="60" w:before="144" w:afterLines="60" w:after="144"/>
        <w:jc w:val="center"/>
        <w:rPr>
          <w:lang w:eastAsia="ru-RU"/>
        </w:rPr>
      </w:pPr>
      <w:bookmarkStart w:id="2" w:name="_Hlk142639568"/>
      <w:r w:rsidRPr="00A95E51">
        <w:rPr>
          <w:b/>
          <w:bCs/>
          <w:sz w:val="28"/>
          <w:szCs w:val="28"/>
          <w:lang w:eastAsia="ru-RU"/>
        </w:rPr>
        <w:t xml:space="preserve">Рекомендации для формирования стоимости проектных и изыскательских работ </w:t>
      </w:r>
    </w:p>
    <w:p w14:paraId="3922933D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bookmarkStart w:id="3" w:name="_Toc107952014"/>
      <w:r w:rsidRPr="00A95E51">
        <w:rPr>
          <w:smallCaps/>
          <w:spacing w:val="5"/>
          <w:sz w:val="28"/>
          <w:szCs w:val="28"/>
          <w:lang w:eastAsia="ru-RU"/>
        </w:rPr>
        <w:t>Исходные данные для определения стоимости проектных и изыскательских работ</w:t>
      </w:r>
    </w:p>
    <w:p w14:paraId="7E777063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Сметная документация на проектные и изыскательские работы, а также на работы, связанные с проектированием, составляется на основе исходных данных, сформированных ответственными подразделениями заказчика и представленных в составе конкурсной документации.</w:t>
      </w:r>
    </w:p>
    <w:p w14:paraId="471F6F04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Состав и объёмы планируемых изыскательских работ, включаемых в сметный расчёт, должны соответствовать программе изысканий.</w:t>
      </w:r>
    </w:p>
    <w:p w14:paraId="1BF2B968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изыскательские работы</w:t>
      </w:r>
    </w:p>
    <w:p w14:paraId="49BF932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изыскательских работ может быть определена следующими методами в порядке их приоритетности:</w:t>
      </w:r>
    </w:p>
    <w:p w14:paraId="557D7791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изыскательские работы для строительства (далее – СБЦИ), введённых в действие Госстроем России после 01.01.1999 г. и внесенных в Федеральный реестр сметных нормативов (далее – ФРСН);</w:t>
      </w:r>
    </w:p>
    <w:p w14:paraId="4960D030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основе Сборника цен на изыскательские работы для капитального строительства (СЦиР-82), главы 16 «Геофизические работы» и главы 20 «Морские инженерно-гидрологические изыскания»;</w:t>
      </w:r>
    </w:p>
    <w:p w14:paraId="221FAB7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калькуляции затрат, в случае отсутствия цен на изыскательские работы в СБЦИ и СЦи</w:t>
      </w:r>
      <w:r w:rsidRPr="00A95E51">
        <w:rPr>
          <w:lang w:eastAsia="ru-RU"/>
        </w:rPr>
        <w:t>Р-82.</w:t>
      </w:r>
    </w:p>
    <w:p w14:paraId="3401A888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составлении смет на изыскательские работы с использованием СБЦИ, внесенных в ФРСН, следует руководствоваться положениями «Методического пособия по определению стоимости инженерных изысканий для строительства», введенного в действие письмом Госстроя России от 31.03.2004 г. № НЗ-2078/10. Положения Методического пособия являются приоритетными по отношению к указаниям Технических частей и Общих положений СБЦИ, утверждённых ранее.</w:t>
      </w:r>
    </w:p>
    <w:p w14:paraId="3EAB3B01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Сметный расчёт на изыскательские работы должен составляться дифференцированно по видам основных и специальных инженерных изысканий.</w:t>
      </w:r>
    </w:p>
    <w:p w14:paraId="4A0367C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сметном расчете выделяются разделы, стоимости работ в которых определяются:</w:t>
      </w:r>
    </w:p>
    <w:p w14:paraId="7FB15C5D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по ценам </w:t>
      </w:r>
      <w:r w:rsidRPr="00A95E51">
        <w:rPr>
          <w:rFonts w:eastAsia="Calibri"/>
          <w:lang w:eastAsia="ru-RU"/>
        </w:rPr>
        <w:t>Справочников базовых цен, установленных по состоянию на 01.01.2001 г.;</w:t>
      </w:r>
    </w:p>
    <w:p w14:paraId="52314D8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по ценам Справоч</w:t>
      </w:r>
      <w:r w:rsidRPr="00A95E51">
        <w:rPr>
          <w:lang w:eastAsia="ru-RU"/>
        </w:rPr>
        <w:t>ников базовых цен, установленных по состоянию на 01.01.1991 г.</w:t>
      </w:r>
    </w:p>
    <w:p w14:paraId="487803B1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изыскательских работ все коэффициенты, применяемые в сметном расчете, подлежат обоснованию.</w:t>
      </w:r>
    </w:p>
    <w:p w14:paraId="3F327A5D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Расчет затрат, не предусмотренных ценами (внешний и внутренний транспорт; организация и ликвидация работ; надбавки, учитывающие условия производства изысканий, горные, пустынные и безводные </w:t>
      </w:r>
      <w:bookmarkStart w:id="4" w:name="searchresult1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"slink://local/pn=5?sv=%23searchresult2"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районы</w:t>
      </w:r>
      <w:r w:rsidRPr="00A95E51">
        <w:rPr>
          <w:lang w:eastAsia="ru-RU"/>
        </w:rPr>
        <w:fldChar w:fldCharType="end"/>
      </w:r>
      <w:bookmarkEnd w:id="4"/>
      <w:r w:rsidRPr="00A95E51">
        <w:rPr>
          <w:lang w:eastAsia="ru-RU"/>
        </w:rPr>
        <w:t xml:space="preserve">; условия </w:t>
      </w:r>
      <w:proofErr w:type="spellStart"/>
      <w:r w:rsidRPr="00A95E51">
        <w:rPr>
          <w:lang w:eastAsia="ru-RU"/>
        </w:rPr>
        <w:t>спецрежима</w:t>
      </w:r>
      <w:proofErr w:type="spellEnd"/>
      <w:r w:rsidRPr="00A95E51">
        <w:rPr>
          <w:lang w:eastAsia="ru-RU"/>
        </w:rPr>
        <w:t xml:space="preserve"> и неблагоприятный период года; </w:t>
      </w:r>
      <w:bookmarkStart w:id="5" w:name="searchresult2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"slink://local/pn=6?sv=%23searchresult3"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районные</w:t>
      </w:r>
      <w:r w:rsidRPr="00A95E51">
        <w:rPr>
          <w:lang w:eastAsia="ru-RU"/>
        </w:rPr>
        <w:fldChar w:fldCharType="end"/>
      </w:r>
      <w:bookmarkEnd w:id="5"/>
      <w:r w:rsidRPr="00A95E51">
        <w:rPr>
          <w:lang w:eastAsia="ru-RU"/>
        </w:rPr>
        <w:t xml:space="preserve"> и северные надбавки и др.), производится по нормативам "Общих указаний" соответствующих СБЦИ или СЦиР-82 с "Дополнениями". При этом не допускается перенос величин нормативов и отдельных коэффициентов, предусмотренных СБЦИ, на работы, стоимость </w:t>
      </w:r>
      <w:r w:rsidRPr="00A95E51">
        <w:rPr>
          <w:lang w:eastAsia="ru-RU"/>
        </w:rPr>
        <w:lastRenderedPageBreak/>
        <w:t>которых определяется по СЦиР-82, а также из одного СБЦИ в другой, если цены в них даны в различных базисных уровнях.</w:t>
      </w:r>
    </w:p>
    <w:p w14:paraId="0E8D0C31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проектные работы</w:t>
      </w:r>
    </w:p>
    <w:p w14:paraId="54197570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проектных работ может быть определена следующими методами в порядке их приоритетности:</w:t>
      </w:r>
    </w:p>
    <w:p w14:paraId="6FBB2805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проектные работы для строительства объектов генерации электрической и тепловой энергии и объектов электрических сетей (СБЦП23 и СБЦП24 соответственно), утвержденных в установленном порядке и внесенных в ФРСН. Допустимо применение Справочников базовых цен на проектные работы для строительства (далее – СБЦП), разработанных для других отраслей, в случаях соответствия наименования объекта, выполняемых работ и/или соответствия проектируемых конструктивных элементов (в том числе применительно). Предпочтительным является применение документов более позднего периода издания;</w:t>
      </w:r>
    </w:p>
    <w:p w14:paraId="79FB3BF4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</w:t>
      </w:r>
      <w:r w:rsidRPr="00A95E51">
        <w:rPr>
          <w:lang w:eastAsia="ru-RU"/>
        </w:rPr>
        <w:t>куляции затрат, в случае отсутствия цен на проектные работы в СБЦП по отдельным объектам.</w:t>
      </w:r>
    </w:p>
    <w:p w14:paraId="3637EE76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составлении смет на проектные работы с использованием СБЦ, внесенных в ФРСН, следует руководствоваться положениями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Российской Федерации от 29.12.2009 г. № 620 (далее – Методические указания). Положения Методических указаний являются приоритетными по отношению к указаниям Технических частей и Общих положений СБЦ, утверждённых ранее. </w:t>
      </w:r>
    </w:p>
    <w:p w14:paraId="1AC3F13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внесении в ФРСН сведений о методиках определения нормативных затрат на работы по подготовке проектной документации (далее - МНЗ на проектные работы), разработанных в соответствии с положениями Методики определения стоимости работ по подготовке проектной документации, утвержденной приказом Минстроя России от 01.10.2021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 (далее - Методика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) с учетом действующих требований к составу и содержанию проектной документации и порядку выполнения проектных работ, СБЦП подлежат исключению из ФРСН полностью или частично, если МНЗ на проектные работы не содержат в полном объеме номенклатуру цен на проектные работы, приведенную в исключаемом СБЦП. </w:t>
      </w:r>
    </w:p>
    <w:p w14:paraId="6A09CEB4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проектных работ с использованием СБЦП все коэффициенты, применяемые в сметном расчете, подлежат обоснованию.</w:t>
      </w:r>
    </w:p>
    <w:p w14:paraId="154BB5AC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Указания по применению цен и поправочных коэффициентов, приведенных в одном СБЦП, не допускается использовать при определении стоимости проектных работ по другим СБЦП.</w:t>
      </w:r>
    </w:p>
    <w:p w14:paraId="148538A4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Цена подготовки проектной документации на техническое перевооружение и модернизацию действующей части электростанции определяется исходя из натуральных показателей объекта строительства, по соответствующим СБЦП, с применением в формуле расчета понижающего коэффициента, соответствующего трудоёмкости работ, который подлежит согласованию с заказчиком. В случае отсутствия необходимых ценовых показателей (мощности, производительности и др.) для определения стоимости проектирования объекта технического перевооружения в СБЦП, стоимость проектных работ для осуществления технического перевооружения и модернизации действующей части электростанции допускается определять в зависимости от стоимости нового строительства всей электростанции/энергоблока, определённой по удельным показателям стоимости на единицу мощности, производительности и др. При этом в расчётной формуле базовый процент определяется от общей стоимости нового строительства всей электростанции/энергоблока, а также учитывается понижающий коэффициент, соответствующий трудоёмкости работ на техническое перевооружение и модернизацию, который подлежит согласованию с заказчиком.</w:t>
      </w:r>
    </w:p>
    <w:p w14:paraId="55DAA50C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lastRenderedPageBreak/>
        <w:t>При определении стоимости проектных работ на реконструкцию, техническое перевооружение действующих предприятий, цехов, зданий и сооружений исходя из значения основного натурального показателя проектируемого объекта, которое должно быть достигнуто в результате его реконструкции, технического перевооружения,  к ценам СБЦП допустимо применение  коэффициента до 1,5, по особо опасным, технически сложным и уникальным объектам капитального строительства - до 2,0. При определении стоимости проектных работ от стоимости реконструкции - до 1,3, по особо опасным, технически сложным и уникальным объектам капитального строительства – до 1,7. Размер коэффициента устанавливается проектной организацией по согласованию с заказчиком.</w:t>
      </w:r>
    </w:p>
    <w:p w14:paraId="3FFAA36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необходимости оценки проектирования специализированных разделов проекта отдельных зданий, узлов и сооружений в составе комплексной цены строительства и реконструкции объекта, отсутствующих в таблицах относительной стоимости СБЦП в необходимой детализации, представляется возможным применение приложения к письму ВНИПИЭНЕРГОПРОМ «Об удельной стоимости проектирования ТЭЦ» от 14.11.1991 № 07014/643 «Распределение комплексной цены разработки рабочих чертежей ТЭЦ по частям проекта, отдельных узлам и сооружениям (топливо-газ (мазут))».</w:t>
      </w:r>
    </w:p>
    <w:p w14:paraId="0D5BDC1F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Цену привязки типовой или повторно применяемой проектной документации на техническое перевооружение и реконструкцию рекомендуется определять в соответствии с положениями СБЦП и Методических указаний. Положение распространяется на все случаи использования типовой или повторно применяемой проектной документации, вне зависимости от наличия положительного заключения государственной экспертизы на ранее разработанную документацию.</w:t>
      </w:r>
    </w:p>
    <w:p w14:paraId="1818571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Распределение базовой цены на разработку проектной и рабочей документации осуществляется:</w:t>
      </w:r>
    </w:p>
    <w:p w14:paraId="78D218A5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для СБЦП до </w:t>
      </w:r>
      <w:r w:rsidRPr="00A95E51">
        <w:rPr>
          <w:rFonts w:eastAsia="Calibri"/>
          <w:lang w:eastAsia="ru-RU"/>
        </w:rPr>
        <w:t>2008 г. в соответствии с положениями Методических указаний;</w:t>
      </w:r>
    </w:p>
    <w:p w14:paraId="2F08657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для СБЦП, введенных в действие после 2008 г., в соответствии с положениями технических частей СБЦП. В случае отсутствия информации о порядке распределения в СБЦП, в соответствии с положениями</w:t>
      </w:r>
      <w:r w:rsidRPr="00A95E51">
        <w:rPr>
          <w:lang w:eastAsia="ru-RU"/>
        </w:rPr>
        <w:t xml:space="preserve"> Методических указаний.</w:t>
      </w:r>
    </w:p>
    <w:p w14:paraId="7029FD1E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случае, когда объем строительно-монтажных работ по объекту строительства составляет менее 60% от общей стоимости строительства, к ценам на проектные работы применяются следующие коэффициенты:</w:t>
      </w:r>
    </w:p>
    <w:p w14:paraId="15E0552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от 60 % до </w:t>
      </w:r>
      <w:r w:rsidRPr="00A95E51">
        <w:rPr>
          <w:rFonts w:eastAsia="Calibri"/>
          <w:lang w:eastAsia="ru-RU"/>
        </w:rPr>
        <w:t>50% - 0,95;</w:t>
      </w:r>
    </w:p>
    <w:p w14:paraId="5A2F3FF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50% до 40% - 0,9;</w:t>
      </w:r>
    </w:p>
    <w:p w14:paraId="61B694B1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40% до 30% - 0,8;</w:t>
      </w:r>
    </w:p>
    <w:p w14:paraId="3473249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от 30% до 20%</w:t>
      </w:r>
      <w:r w:rsidRPr="00A95E51">
        <w:rPr>
          <w:lang w:eastAsia="ru-RU"/>
        </w:rPr>
        <w:t xml:space="preserve"> - 0,7.</w:t>
      </w:r>
    </w:p>
    <w:p w14:paraId="404F89F9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проектных организаций, расположенных в районах, в которых в соответствии с действующим законодательством производятся выплаты, обусловленные районным регулированием оплаты труда,  определяются дополнительно, путем введения к итогу базовой цены повышающих коэффициентов, установленных на основании соответствующих обосновывающих расчетов, выполняемых самой проектной организацией в соответствии с «Рекомендациями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рекомендованных к применению письмом Госстроя России от 30.06.1998 № 9-10-17/40.</w:t>
      </w:r>
    </w:p>
    <w:p w14:paraId="466CFC7C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Пересчет стоимости проектных и изыскательских работ в текущий уровень цен</w:t>
      </w:r>
    </w:p>
    <w:p w14:paraId="5E1EF185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Значения индексов изменения сметной стоимости проектных и изыскательских работ определяются на основе данных федерального органа по ценообразованию и сметному нормированию на момент составления сметной документации с учетом сроков реализации мероприятия.</w:t>
      </w:r>
    </w:p>
    <w:p w14:paraId="6424584D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работ по калькуляции</w:t>
      </w:r>
    </w:p>
    <w:p w14:paraId="615C6BC5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При определении стоимости проектных и изыскательских работ по калькуляции в ее составе учитывается заработная плата непосредственных исполнителей работ. Размер заработной платы принимается не выше среднего уровня оплаты труда для аналогичных специалистов в регионе нахождения проектной организации согласно статистическим данным, размещенным в открытом доступе информационных источников.</w:t>
      </w:r>
    </w:p>
    <w:p w14:paraId="319F50B0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Учтенные статьи затрат в составе калькуляции подлежат обоснованию, в частности:</w:t>
      </w:r>
    </w:p>
    <w:p w14:paraId="47E74DE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стоимость </w:t>
      </w:r>
      <w:r w:rsidRPr="00A95E51">
        <w:rPr>
          <w:rFonts w:eastAsia="Calibri"/>
          <w:lang w:eastAsia="ru-RU"/>
        </w:rPr>
        <w:t>материалов и другие прочие затраты;</w:t>
      </w:r>
    </w:p>
    <w:p w14:paraId="0FA441D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количественное обоснование трудоёмкости в целом и ее этапов, материалоёмкости и прочих затрат в составе калькуляции</w:t>
      </w:r>
      <w:r w:rsidRPr="00A95E51">
        <w:rPr>
          <w:lang w:eastAsia="ru-RU"/>
        </w:rPr>
        <w:t>.</w:t>
      </w:r>
    </w:p>
    <w:p w14:paraId="2B7F251C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Величина накладных расходов, указанных в калькуляции, должна быть подтверждена расчётами с указанием структуры затрат.</w:t>
      </w:r>
    </w:p>
    <w:p w14:paraId="47BF5FA4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авторский надзор</w:t>
      </w:r>
    </w:p>
    <w:p w14:paraId="13C4E076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02E3C618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7733352C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проведение государственной экспертизы</w:t>
      </w:r>
    </w:p>
    <w:p w14:paraId="028BCA82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47E48876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Коэффициент, отражающий инфляционные процессы по сравнению с 1 января 2001 г.,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государственной экспертизы (включительно). Также значение коэффициента (соответствующего расчетному значению) может быть установлено территориальными органами </w:t>
      </w:r>
      <w:proofErr w:type="spellStart"/>
      <w:r w:rsidRPr="00A95E51">
        <w:rPr>
          <w:lang w:eastAsia="ru-RU"/>
        </w:rPr>
        <w:t>Главгосэкспертизы</w:t>
      </w:r>
      <w:proofErr w:type="spellEnd"/>
      <w:r w:rsidRPr="00A95E51">
        <w:rPr>
          <w:lang w:eastAsia="ru-RU"/>
        </w:rPr>
        <w:t xml:space="preserve"> России.</w:t>
      </w:r>
    </w:p>
    <w:p w14:paraId="2553E94B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необходимости определения плановых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1F29A53C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Командировочные расходы</w:t>
      </w:r>
    </w:p>
    <w:p w14:paraId="1BB4B11C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 необходимости учёта командировочных расходов представляется отдельный подтверждающий расчёт с указанием стоимости проезда, проживания, величины суточных.</w:t>
      </w:r>
    </w:p>
    <w:p w14:paraId="7DFB4F7E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Суточные, выплачиваемые в соответствии с законодательством Российской Федерации, рекомендуется принимать в размере не более 700 рублей за каждый день нахождения в командировке на территории Российской Федерации.</w:t>
      </w:r>
    </w:p>
    <w:p w14:paraId="2D258A30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14331F31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Окончательные расчёты с Подрядчиком производятся по фактическим затратам, подтверждённым первичными бухгалтерскими и иными отчетными документами (расчётами), согласованными Заказчиком.</w:t>
      </w:r>
    </w:p>
    <w:p w14:paraId="084066C8" w14:textId="77777777" w:rsidR="00A95E51" w:rsidRPr="00A95E51" w:rsidRDefault="00A95E51" w:rsidP="00A95E51">
      <w:pPr>
        <w:keepNext/>
        <w:keepLines/>
        <w:numPr>
          <w:ilvl w:val="0"/>
          <w:numId w:val="47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29B3C12D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Сметные расчеты на проектные и изыскательские работы формируются отдельно.</w:t>
      </w:r>
    </w:p>
    <w:p w14:paraId="7006AFDD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Рекомендуемые образцы смет на основные и дополнительные проектные работы, а также сопутствующие работы (форма 2п) и на проектные работы в соответствии с калькуляцией затрат (форма 3п), рекомендуемый образец сметного расчета на командировочные расходы по работам, связанным с проектированием (форма 4п) приведены в Приложении № 7 Методики 707/пр.</w:t>
      </w:r>
    </w:p>
    <w:p w14:paraId="4B95AD4B" w14:textId="77777777" w:rsidR="00A95E51" w:rsidRPr="00A95E51" w:rsidRDefault="00A95E51" w:rsidP="00A95E51">
      <w:pPr>
        <w:numPr>
          <w:ilvl w:val="1"/>
          <w:numId w:val="47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Порядок и формы составления сметного расчета на изыскательские работы по СБЦИ и СЦиР-82, сметного расчета по трудозатратам приведены в Приложениях 1, 2 Методического пособия по определению стоимости инженерных изысканий для строительства, введенного в действие Письмом Госстроя России от 31.03.2004 N НЗ-2078/10.</w:t>
      </w:r>
      <w:bookmarkEnd w:id="3"/>
    </w:p>
    <w:p w14:paraId="0DF5E0C6" w14:textId="77777777" w:rsidR="00A95E51" w:rsidRDefault="00A95E51">
      <w:pPr>
        <w:rPr>
          <w:b/>
          <w:sz w:val="32"/>
          <w:szCs w:val="32"/>
          <w:vertAlign w:val="superscript"/>
        </w:rPr>
      </w:pPr>
    </w:p>
    <w:p w14:paraId="1365A4CC" w14:textId="77777777" w:rsidR="00A95E51" w:rsidRDefault="00A95E51">
      <w:pPr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br w:type="page"/>
      </w:r>
    </w:p>
    <w:p w14:paraId="0EB31A3C" w14:textId="19C41BA7" w:rsidR="00FF769B" w:rsidRDefault="00FF769B" w:rsidP="00FF769B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A95E51">
        <w:rPr>
          <w:b/>
          <w:sz w:val="32"/>
          <w:szCs w:val="32"/>
          <w:vertAlign w:val="superscript"/>
          <w:lang w:val="en-US"/>
        </w:rPr>
        <w:t>6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bookmarkEnd w:id="2"/>
    <w:p w14:paraId="5FCEC3E0" w14:textId="77777777" w:rsidR="00A95E51" w:rsidRPr="00A95E51" w:rsidRDefault="00A95E51" w:rsidP="00A95E51">
      <w:pPr>
        <w:spacing w:beforeLines="60" w:before="144" w:afterLines="60" w:after="144"/>
        <w:jc w:val="center"/>
        <w:rPr>
          <w:b/>
          <w:bCs/>
          <w:sz w:val="28"/>
          <w:szCs w:val="28"/>
          <w:lang w:eastAsia="ru-RU"/>
        </w:rPr>
      </w:pPr>
      <w:r w:rsidRPr="00A95E51">
        <w:rPr>
          <w:b/>
          <w:bCs/>
          <w:sz w:val="28"/>
          <w:szCs w:val="28"/>
          <w:lang w:eastAsia="ru-RU"/>
        </w:rPr>
        <w:t>Рекомендации для формирования стоимости работ по техническому перевооружению и реконструкции</w:t>
      </w:r>
    </w:p>
    <w:p w14:paraId="1A3D40DE" w14:textId="77777777" w:rsidR="00A95E51" w:rsidRPr="00A95E51" w:rsidRDefault="00A95E51" w:rsidP="00A95E51">
      <w:pPr>
        <w:numPr>
          <w:ilvl w:val="0"/>
          <w:numId w:val="41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6" w:name="_Toc107952024"/>
      <w:bookmarkStart w:id="7" w:name="_Toc107952025"/>
      <w:bookmarkStart w:id="8" w:name="_Toc85038842"/>
      <w:bookmarkStart w:id="9" w:name="_Toc107952026"/>
      <w:bookmarkEnd w:id="6"/>
      <w:bookmarkEnd w:id="7"/>
      <w:r w:rsidRPr="00A95E51">
        <w:rPr>
          <w:bCs/>
          <w:lang w:eastAsia="ru-RU"/>
        </w:rPr>
        <w:t xml:space="preserve">МЕТОДЫ ОПРЕДЕЛЕНИЯ СМЕТНОЙ СТОИМОСТИ РАБОТ ПО </w:t>
      </w:r>
      <w:proofErr w:type="spellStart"/>
      <w:r w:rsidRPr="00A95E51">
        <w:rPr>
          <w:bCs/>
          <w:lang w:eastAsia="ru-RU"/>
        </w:rPr>
        <w:t>ТПиР</w:t>
      </w:r>
      <w:bookmarkEnd w:id="8"/>
      <w:proofErr w:type="spellEnd"/>
    </w:p>
    <w:p w14:paraId="3AEE4BFB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При определении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приоритетным методом составления сметных расчётов является базисно-индексный метод.</w:t>
      </w:r>
    </w:p>
    <w:p w14:paraId="62E5B306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Для определения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рекомендуется руководствоваться следующей приоритетностью применяемых СНБ и способов:</w:t>
      </w:r>
    </w:p>
    <w:p w14:paraId="2111DB0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актуальная СНБ Минстроя России;</w:t>
      </w:r>
    </w:p>
    <w:p w14:paraId="450C59F5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БЦ РЭО;</w:t>
      </w:r>
    </w:p>
    <w:p w14:paraId="05E3F19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Прейскурант на экспериментально-наладочные работы и работы по совершенствованию технологии и эксплуатации электростанций и сетей, разработанный Фирмой ОРГРЭС;</w:t>
      </w:r>
    </w:p>
    <w:p w14:paraId="14B8ACD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ВУЕР, ВЕПР, ВСН и другие ведомственные сметные нормативы;</w:t>
      </w:r>
    </w:p>
    <w:p w14:paraId="0BCB6C4E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случаях отсутствия проектно-сметной документации – укрупненные нормативы цены строительства (НЦС) и укрупненные нормативы цены конструктивных решений (НЦКР);</w:t>
      </w:r>
    </w:p>
    <w:p w14:paraId="1606A8A8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определении сметной стоимости на основании СНБ Минстроя России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14:paraId="1880F0FA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индексы изменения сметной стоимости, публикуемые Минстроем России:</w:t>
      </w:r>
    </w:p>
    <w:p w14:paraId="25A96649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a)</w:t>
      </w:r>
      <w:r w:rsidRPr="00A95E51">
        <w:rPr>
          <w:rFonts w:eastAsia="Calibri"/>
          <w:lang w:eastAsia="ru-RU"/>
        </w:rPr>
        <w:tab/>
        <w:t>индексы к сметной стоимости строительно-монтажных работ;</w:t>
      </w:r>
    </w:p>
    <w:p w14:paraId="6EC5D296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b)</w:t>
      </w:r>
      <w:r w:rsidRPr="00A95E51">
        <w:rPr>
          <w:rFonts w:eastAsia="Calibri"/>
          <w:lang w:eastAsia="ru-RU"/>
        </w:rPr>
        <w:tab/>
        <w:t>индексы к элементам прямых затрат расценок;</w:t>
      </w:r>
    </w:p>
    <w:p w14:paraId="362CBD0E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c)</w:t>
      </w:r>
      <w:r w:rsidRPr="00A95E51">
        <w:rPr>
          <w:rFonts w:eastAsia="Calibri"/>
          <w:lang w:eastAsia="ru-RU"/>
        </w:rPr>
        <w:tab/>
        <w:t>индексы по видам работ;</w:t>
      </w:r>
    </w:p>
    <w:p w14:paraId="6D5D7F9A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d)</w:t>
      </w:r>
      <w:r w:rsidRPr="00A95E51">
        <w:rPr>
          <w:rFonts w:eastAsia="Calibri"/>
          <w:lang w:eastAsia="ru-RU"/>
        </w:rPr>
        <w:tab/>
        <w:t>индексы к отдельным строительным ресурсам, индексы к группам строительных ресурсов;</w:t>
      </w:r>
    </w:p>
    <w:p w14:paraId="36F515A8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e)</w:t>
      </w:r>
      <w:r w:rsidRPr="00A95E51">
        <w:rPr>
          <w:rFonts w:eastAsia="Calibri"/>
          <w:lang w:eastAsia="ru-RU"/>
        </w:rPr>
        <w:tab/>
        <w:t>индексы к оборудованию;</w:t>
      </w:r>
    </w:p>
    <w:p w14:paraId="734C9848" w14:textId="77777777" w:rsidR="00A95E51" w:rsidRPr="00A95E51" w:rsidRDefault="00A95E51" w:rsidP="00A95E51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f)</w:t>
      </w:r>
      <w:r w:rsidRPr="00A95E51">
        <w:rPr>
          <w:rFonts w:eastAsia="Calibri"/>
          <w:lang w:eastAsia="ru-RU"/>
        </w:rPr>
        <w:tab/>
        <w:t>индексы к прочим затратам.</w:t>
      </w:r>
    </w:p>
    <w:p w14:paraId="5C7B0295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необходимости срок реализации мероприятия учитывается посредством применения к стоимости мероприятия в целом (в том числе и стоимости оборудования) значений индекса-дефлятора «Темп роста индекса-дефлятора валового накопления основного капитала (инвестиций)»,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документации, дифференцировано по статьям затрат:</w:t>
      </w:r>
    </w:p>
    <w:p w14:paraId="761EF4DA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оборудования значение индекса-дефлятора определяется исходя из сроков проведения закупочных процедур (расчетный период – квартал);</w:t>
      </w:r>
    </w:p>
    <w:p w14:paraId="1CA4508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проектно-изыскательских работ значение индекса-дефлятора учитывается на середину срока выполнения работ (расчетный период – квартал);</w:t>
      </w:r>
    </w:p>
    <w:p w14:paraId="66B1EBEF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строительно-монтажных, пусконаладочных и прочих работ значение индекса-дефлятора определяется на основании графика выполнения работ и (или) иных исходных данных (расчетный период – квартал), в случае отсутствия поквартальных данных значение индекса-дефлятора определяется на середину периода.</w:t>
      </w:r>
    </w:p>
    <w:p w14:paraId="52B5260F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Расчетные значения индексов-дефляторов отражаются наглядно в ССР (с указанием формул расчета и ссылок на источники информации).</w:t>
      </w:r>
    </w:p>
    <w:p w14:paraId="0A81FF6B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lastRenderedPageBreak/>
        <w:t>При определении сметной стоимости базисно-индексным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14:paraId="383069EA" w14:textId="77777777" w:rsidR="00A95E51" w:rsidRPr="00A95E51" w:rsidRDefault="00A95E51" w:rsidP="00A95E51">
      <w:pPr>
        <w:numPr>
          <w:ilvl w:val="1"/>
          <w:numId w:val="41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b/>
          <w:lang w:eastAsia="en-US"/>
        </w:rPr>
      </w:pPr>
      <w:r w:rsidRPr="00A95E51">
        <w:rPr>
          <w:rFonts w:eastAsia="Calibri"/>
          <w:lang w:eastAsia="en-US"/>
        </w:rPr>
        <w:t>Уровень предельных значений поправочных индексов для пересчета в текущие (прогнозные) цены к ценам сборников БЦ РЭО, Прейскурантов и иных Ведомственных сборников (ОРГРЭС, ВУЕР, ВСН и т.п.) при подаче предложений принимается на уровне, не выше установленного заказчиком.</w:t>
      </w:r>
    </w:p>
    <w:p w14:paraId="345BF8C5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smallCaps/>
          <w:spacing w:val="5"/>
          <w:lang w:eastAsia="ru-RU"/>
        </w:rPr>
      </w:pPr>
      <w:r w:rsidRPr="00A95E51">
        <w:rPr>
          <w:smallCaps/>
          <w:spacing w:val="5"/>
          <w:lang w:eastAsia="ru-RU"/>
        </w:rPr>
        <w:t xml:space="preserve">ИСХОДНЫЕ ДАННЫЕ ДЛЯ ОПРЕДЕЛЕНИЯ СМЕТНОЙ СТОИМОСТИ РАБОТ ПО </w:t>
      </w:r>
      <w:proofErr w:type="spellStart"/>
      <w:r w:rsidRPr="00A95E51">
        <w:rPr>
          <w:smallCaps/>
          <w:spacing w:val="5"/>
          <w:lang w:eastAsia="ru-RU"/>
        </w:rPr>
        <w:t>ТПиР</w:t>
      </w:r>
      <w:proofErr w:type="spellEnd"/>
    </w:p>
    <w:p w14:paraId="47637156" w14:textId="77777777" w:rsidR="00A95E51" w:rsidRPr="00A95E51" w:rsidRDefault="00A95E51" w:rsidP="00A95E51">
      <w:pPr>
        <w:tabs>
          <w:tab w:val="left" w:pos="1560"/>
        </w:tabs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Основанием для определения сметной стоимости объектов </w:t>
      </w:r>
      <w:proofErr w:type="spellStart"/>
      <w:r w:rsidRPr="00A95E51">
        <w:rPr>
          <w:rFonts w:eastAsia="Calibri"/>
          <w:color w:val="000000"/>
          <w:lang w:eastAsia="ru-RU"/>
        </w:rPr>
        <w:t>ТПиР</w:t>
      </w:r>
      <w:proofErr w:type="spellEnd"/>
      <w:r w:rsidRPr="00A95E51">
        <w:rPr>
          <w:rFonts w:eastAsia="Calibri"/>
          <w:color w:val="000000"/>
          <w:lang w:eastAsia="ru-RU"/>
        </w:rPr>
        <w:t xml:space="preserve"> являются:</w:t>
      </w:r>
    </w:p>
    <w:p w14:paraId="4CFFCCEE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проектная </w:t>
      </w:r>
      <w:r w:rsidRPr="00A95E51">
        <w:rPr>
          <w:rFonts w:eastAsia="Calibri"/>
          <w:lang w:eastAsia="ru-RU"/>
        </w:rPr>
        <w:t>документация;</w:t>
      </w:r>
    </w:p>
    <w:p w14:paraId="0C659464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рабочая документация, включая рабочие чертежи, спецификации оборудования и изделий;</w:t>
      </w:r>
    </w:p>
    <w:p w14:paraId="2FFA7035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задание на проектирование;</w:t>
      </w:r>
    </w:p>
    <w:p w14:paraId="35AF7DB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техническое задание;</w:t>
      </w:r>
    </w:p>
    <w:p w14:paraId="2876B4DE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14:paraId="6D0564E3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утвержденные заказчиком программа и график производства работ для определения сметной стоимости ПНР;</w:t>
      </w:r>
    </w:p>
    <w:p w14:paraId="02FC5A2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14:paraId="261BE749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адресные ТКП, полученные от поставщиков,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объекта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не превышающим 1 год;</w:t>
      </w:r>
    </w:p>
    <w:p w14:paraId="17848FD3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уполномоченным), документация заводов-изготовителей основного оборудования;</w:t>
      </w:r>
    </w:p>
    <w:p w14:paraId="538E53E3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lang w:eastAsia="ru-RU"/>
        </w:rPr>
        <w:t>иные исходные данные</w:t>
      </w:r>
      <w:r w:rsidRPr="00A95E51">
        <w:rPr>
          <w:rFonts w:eastAsia="Calibri"/>
          <w:color w:val="000000"/>
          <w:lang w:eastAsia="ru-RU"/>
        </w:rPr>
        <w:t>, необходимые для определения стоимости работ.</w:t>
      </w:r>
    </w:p>
    <w:p w14:paraId="16351B30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lang w:eastAsia="ru-RU"/>
        </w:rPr>
      </w:pPr>
      <w:r w:rsidRPr="00A95E51">
        <w:rPr>
          <w:lang w:eastAsia="ru-RU"/>
        </w:rPr>
        <w:t>ОСОБЕННОСТИ ПРИМЕНЕНИЯ ЕДИНИЧНЫХ РАСЦЕНОК</w:t>
      </w:r>
    </w:p>
    <w:p w14:paraId="0E60AD3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shd w:val="clear" w:color="auto" w:fill="FFFFFF"/>
          <w:lang w:eastAsia="en-US"/>
        </w:rPr>
        <w:t>Для опред</w:t>
      </w:r>
      <w:r w:rsidRPr="00A95E51">
        <w:rPr>
          <w:rFonts w:eastAsia="Calibri"/>
          <w:lang w:eastAsia="ru-RU"/>
        </w:rPr>
        <w:t xml:space="preserve">еления сметной стоимости строительных и специальных строительных, ремонтно-строительных и пусконаладочных работ, работ по монтажу оборудования мероприятий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приоритетным является применение единичных расценок ФЕР, разработанных на основе сметных норм ГЭСН и сведения о которых включены в ФРСН.</w:t>
      </w:r>
    </w:p>
    <w:p w14:paraId="2DE3153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Порядок и особенности применения единичных расценок регламентируются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работы, утвержденными приказом Минстроя России от 04.09.2019 № 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- Методические рекомендации 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), положениями технических частей сборников.</w:t>
      </w:r>
    </w:p>
    <w:p w14:paraId="7BB0C15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Стоимость строительных и специальных строительных, ремонтно-строительных и пусконаладочных работ, работ по монтажу оборудования включает сметные прямые затраты (сметная стоимость материалов, изделий, конструкций и оборудования, </w:t>
      </w:r>
      <w:r w:rsidRPr="00A95E51">
        <w:rPr>
          <w:rFonts w:eastAsia="Calibri"/>
          <w:lang w:eastAsia="ru-RU"/>
        </w:rPr>
        <w:lastRenderedPageBreak/>
        <w:t>средства на оплату труда рабочих, стоимость эксплуатации машин и механизмов, включая оплату труда рабочих, управляющих машинами), накладные расходы и сметную прибыль, а также отдельные виды затрат, относимые на стоимость СМР.</w:t>
      </w:r>
    </w:p>
    <w:p w14:paraId="46F5AD2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Сметные нормы разработаны на основе принципа усреднения с определением нормативного количества строительных ресурсов, необходимого и достаточного для выполнения соответствующего вида строительных, специальных строительных, ремонтно-строительных, монтажных работ.</w:t>
      </w:r>
    </w:p>
    <w:p w14:paraId="59FF76F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Выбор сметных нормативов, единичных расценок и составляющих единичных расценок для определения СМР и ПНР осуществляется исходя из соответствия технологии производства работ, принятой в проектной и (или) иной технической документации, состава работ, перечня, характеристик и расхода строительных ресурсов, учтенных сметными нормами.</w:t>
      </w:r>
    </w:p>
    <w:p w14:paraId="3883F9D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Внесение изменений в единичные расценки не допускается, в том числе в случаях, когда проектной и (или) иной технической документацией предусмотрено:</w:t>
      </w:r>
    </w:p>
    <w:p w14:paraId="3A14563E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строительных машин и механизмов, не учтенных в сметных нормах,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393D57A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в соответствии с ПОС машин и механизмов, технические характеристики которых отличаются от учтенных сметными нормами,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01584DF4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выполнение работ вручную и (или) с использованием средств малой механизации. При этом сметными нормами, на основе которых разработаны соответствующие единичные расценки, учтено применение машин и механизмов или иных технических средств;</w:t>
      </w:r>
    </w:p>
    <w:p w14:paraId="33B34A88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применение МТР, характеристики которых отличаются от учтенных сметными нормами, на основе которых разработаны соответствующие единичные расценки, и их применение не меняет технологические и организационные схемы производства работ, не снижает эксплуатационные характеристики конструктивных решений, принятые в проектной и (или) иной технической документации.</w:t>
      </w:r>
    </w:p>
    <w:p w14:paraId="003F026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Положения о применении единичных расценок одного сборника, отдела, раздела или подраздела, а также коэффициенты, приведенные в технической части, не применяются к единичным расценкам других сборников, отделов, разделов и подразделов.</w:t>
      </w:r>
    </w:p>
    <w:p w14:paraId="0C4CC55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применении единичных расценок учитывается, что параметры отдельных характеристик видов работ, МТР (масса, длина, емкость, диаметр и др.), приведенные со словом "до", понимается включительно, со словом "от" - исключая указанную величину, т.е. свыше.</w:t>
      </w:r>
    </w:p>
    <w:p w14:paraId="783C2DA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в сметной документации допускается в части замены подъемного крана в случаях, когда проектной и (или) иной технической документацией обосновано применение подъемного крана,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работ, принятых при реконструкции, техническом перевооружении по сравнению с учтенными при разработке сметных норм, если это предусмотрено положениями разделов соответствующих сборников сметных норм.</w:t>
      </w:r>
    </w:p>
    <w:p w14:paraId="37AF69D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единичных расценках, включенных в сборники на строительные и специальные строительные работы, не учтены затраты на работу отдельных строительных машин и механизмов (проходческие щиты, </w:t>
      </w:r>
      <w:proofErr w:type="spellStart"/>
      <w:r w:rsidRPr="00A95E51">
        <w:rPr>
          <w:rFonts w:eastAsia="Calibri"/>
          <w:lang w:eastAsia="ru-RU"/>
        </w:rPr>
        <w:t>тюбинго</w:t>
      </w:r>
      <w:proofErr w:type="spellEnd"/>
      <w:r w:rsidRPr="00A95E51">
        <w:rPr>
          <w:rFonts w:eastAsia="Calibri"/>
          <w:lang w:eastAsia="ru-RU"/>
        </w:rPr>
        <w:t xml:space="preserve">- и </w:t>
      </w:r>
      <w:proofErr w:type="spellStart"/>
      <w:r w:rsidRPr="00A95E51">
        <w:rPr>
          <w:rFonts w:eastAsia="Calibri"/>
          <w:lang w:eastAsia="ru-RU"/>
        </w:rPr>
        <w:t>блокоукладчики</w:t>
      </w:r>
      <w:proofErr w:type="spellEnd"/>
      <w:r w:rsidRPr="00A95E51">
        <w:rPr>
          <w:rFonts w:eastAsia="Calibri"/>
          <w:lang w:eastAsia="ru-RU"/>
        </w:rPr>
        <w:t xml:space="preserve"> и т.п.). Способ определения затрат на эксплуатацию не учтенных расценками механизмов изложен в Общих положениях соответствующих сборников единичных расценок на строительные и специальные строительные работы.</w:t>
      </w:r>
    </w:p>
    <w:p w14:paraId="5F7BFC59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Перечень машин и механизмов, в сметных ценах которых не учтены затраты на перебазировку и учитываемых в сметах отдельной строкой,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механизмов, утвержденных приказом Минстроя России от 04.09.2019 № 513/пр.</w:t>
      </w:r>
    </w:p>
    <w:p w14:paraId="328CD8B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некоторым материалам, изделиям и конструкциям для строительных, специальных строительных и ремонтно-строительных работ, расход которых зависит от проектных решений, в таблицах сметных норм указываются только наименование материалов, а вместо нормативного показателя расхода соответствующего ресурса приводится литера "П". Расход таких материальных ресурсов при составлении сметной документации определяется по проектным данным и (или) данным иной технической документации с учетом </w:t>
      </w:r>
      <w:proofErr w:type="spellStart"/>
      <w:r w:rsidRPr="00A95E51">
        <w:rPr>
          <w:rFonts w:eastAsia="Calibri"/>
          <w:lang w:eastAsia="ru-RU"/>
        </w:rPr>
        <w:t>трудноустранимых</w:t>
      </w:r>
      <w:proofErr w:type="spellEnd"/>
      <w:r w:rsidRPr="00A95E51">
        <w:rPr>
          <w:rFonts w:eastAsia="Calibri"/>
          <w:lang w:eastAsia="ru-RU"/>
        </w:rPr>
        <w:t xml:space="preserve"> потерь и отходов, связанных с перемещением материалов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рабочей зоны (зоны монтажа) и их обработкой при производстве соответствующих видов работ.</w:t>
      </w:r>
    </w:p>
    <w:p w14:paraId="6062E462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оборудования и материальных ресурсов с нормами отходов, которые не учтены в единичных расценках на монтаж оборудования, приведены в Общих положениях и Приложениях сборников на монтаж оборудования.</w:t>
      </w:r>
    </w:p>
    <w:p w14:paraId="4CE05FC3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учтена стоимость электрической и тепловой энергии, сжатого воздуха и воды от постоянных источников снабжения.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(сметах), включая затраты на сушку зданий, а также на отопление зданий в зимний период </w:t>
      </w:r>
      <w:proofErr w:type="spellStart"/>
      <w:r w:rsidRPr="00A95E51">
        <w:rPr>
          <w:rFonts w:eastAsia="Calibri"/>
          <w:lang w:eastAsia="ru-RU"/>
        </w:rPr>
        <w:t>электрокалориферами</w:t>
      </w:r>
      <w:proofErr w:type="spellEnd"/>
      <w:r w:rsidRPr="00A95E51">
        <w:rPr>
          <w:rFonts w:eastAsia="Calibri"/>
          <w:lang w:eastAsia="ru-RU"/>
        </w:rPr>
        <w:t xml:space="preserve"> при получении электроэнергии от передвижных электростанций.</w:t>
      </w:r>
    </w:p>
    <w:p w14:paraId="56C6A5B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электроэнергию, потребляемую ручным инструментом, относятся к сметной стоимости материальных ресурсов, учитываются в локальных сметных расчетах дополнительно в случаях и размерах, указанных в Общих положениях" и Приложениях сметных норм (единичных расценок).</w:t>
      </w:r>
    </w:p>
    <w:p w14:paraId="1DD02A3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учтены затраты на горизонтальное и вертикальное перемещение МТР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места производства работ на расстояния, приведенные в Общих положениях соответствующих сборников.</w:t>
      </w:r>
    </w:p>
    <w:p w14:paraId="55F00D1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случае, когда проектом предусмотрено перемещение МТР на расстояние, превышающее учтенное единичными расценками и сметными нормами, затраты на перемещение определяются по расценкам сборника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81-03-40-... "Дополнительное перемещение оборудования и материальных ресурсов сверх предусмотренного в сборниках единичных расценках на монтаж оборудования".</w:t>
      </w:r>
    </w:p>
    <w:p w14:paraId="75332363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приготовление (изготовление) отдельных материальных ресурсов (бетон, раствор, битум, асфальтобетонные и черные щебеночные смеси, битумные эмульсии, металлические конструкции и другие) в построечных условиях или условиях производственных баз, указанные затраты определяются в локальных сметных расчетах (сметах) по соответствующим сметным нормам (единичным расценкам), сведения о которых включены в ФРСН.</w:t>
      </w:r>
    </w:p>
    <w:p w14:paraId="45E18CB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и сметными нормами, на основе которых разработаны соответствующие единичные расценки, не учтены затраты на работы, связанные с подвозкой деталей наружных и внутренних лесов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склада. Указанные затраты учитываются непосредственно в сметных расчетах (сметах) в соответствии с методическими документами.</w:t>
      </w:r>
    </w:p>
    <w:p w14:paraId="78E03D2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Сметная стоимость работ по монтажу оборудования, отсутствующего в действующих сборниках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>, определяется по единичным расценкам ближайшего по массе оборудования при условии, что масса монтируемого оборудования (с учетом массы электродвигателей и приводов) не превышает 10% массы оборудования, при разнице в массе более чем на 10% - применением к единичным расценкам ближайшего по массе оборудования коэффициентов, приведенных в Таблице 1 Методических рекомендаций 519/пр.</w:t>
      </w:r>
    </w:p>
    <w:p w14:paraId="4D968729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Если в технической характеристике оборудования масса приведена со словом "до", корректировка единичных расценок по массе допускается только сверх последнего значения массы, а если "от" и "до" – за рамками крайних пределов.</w:t>
      </w:r>
    </w:p>
    <w:p w14:paraId="22CC1E1E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по массе не производится по электрическим установкам, оборудованию связи, приборам, средствам автоматизации и вычислительной техники, по оборудованию, по которому сметные нормы в сборнике имеют измеритель "т", а также в случае, если в наименовании единичной расценки приведена масса оборудования.</w:t>
      </w:r>
    </w:p>
    <w:p w14:paraId="0BAC1FCC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тех случаях, когда в технических характеристиках оборудования не указан материал, из которого оно изготовлено, в единичных расценках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принято, что оборудование изготовлено из углеродистой стали или серого чугуна.</w:t>
      </w:r>
    </w:p>
    <w:p w14:paraId="654C7FBE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Сметная стоимость демонтажных работ определяется по единичным расценкам сборников на строительные, специальные строительные, монтаж оборудования и ремонтно-строительные работы в порядке следующей приоритетности: </w:t>
      </w:r>
    </w:p>
    <w:p w14:paraId="42CD836D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 ГЭСН/ФЕР 81-02-46-... "Работы при реконструкции зданий и сооружений";</w:t>
      </w:r>
    </w:p>
    <w:p w14:paraId="6137B98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сборники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 на ремонтно-строительные работы;</w:t>
      </w:r>
    </w:p>
    <w:p w14:paraId="31D61E9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сборники ГЭСН/ФЕР на строительные и монтажные работы с применением понижающих коэффициентов на демонтаж, указанных в таблицах 1 и 2 настоящих рекомендаций.</w:t>
      </w:r>
    </w:p>
    <w:p w14:paraId="7E60E59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отсутствии единичных расценок на работы по демонтажу зданий, сооружений, строительных конструкций, элементов систем и сетей инженерно-технического обеспечения в сборниках единичных расценок на строительные, специальные строительные и ремонтно-строительные работы при определении сметной стоимости применяются единичные расценки на строительные и специальные строительные работы на устройство, установку строительных конструкций, элементов систем и сетей инженерно-технического обеспечения с применением следующих коэффициентов:</w:t>
      </w:r>
    </w:p>
    <w:p w14:paraId="6655B8E9" w14:textId="77777777" w:rsidR="00A95E51" w:rsidRPr="00A95E51" w:rsidRDefault="00A95E51" w:rsidP="00A95E51">
      <w:pPr>
        <w:tabs>
          <w:tab w:val="left" w:pos="1560"/>
        </w:tabs>
        <w:spacing w:line="276" w:lineRule="auto"/>
        <w:ind w:firstLine="851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1</w:t>
      </w:r>
    </w:p>
    <w:tbl>
      <w:tblPr>
        <w:tblStyle w:val="1b"/>
        <w:tblW w:w="9808" w:type="dxa"/>
        <w:jc w:val="right"/>
        <w:tblLook w:val="04A0" w:firstRow="1" w:lastRow="0" w:firstColumn="1" w:lastColumn="0" w:noHBand="0" w:noVBand="1"/>
      </w:tblPr>
      <w:tblGrid>
        <w:gridCol w:w="671"/>
        <w:gridCol w:w="6634"/>
        <w:gridCol w:w="2503"/>
      </w:tblGrid>
      <w:tr w:rsidR="00A95E51" w:rsidRPr="00A95E51" w14:paraId="4337E16F" w14:textId="77777777" w:rsidTr="004854BB">
        <w:trPr>
          <w:trHeight w:val="990"/>
          <w:jc w:val="right"/>
        </w:trPr>
        <w:tc>
          <w:tcPr>
            <w:tcW w:w="671" w:type="dxa"/>
            <w:vAlign w:val="center"/>
          </w:tcPr>
          <w:p w14:paraId="01A3ACAC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 п/п.</w:t>
            </w:r>
          </w:p>
        </w:tc>
        <w:tc>
          <w:tcPr>
            <w:tcW w:w="6634" w:type="dxa"/>
            <w:vAlign w:val="center"/>
          </w:tcPr>
          <w:p w14:paraId="7F23F6C8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Вид демонтируемых (разбираемых) строительных конструкций, элементов систем и сетей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21BF4E9F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firstLine="443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Коэффициенты</w:t>
            </w:r>
          </w:p>
        </w:tc>
      </w:tr>
      <w:tr w:rsidR="00A95E51" w:rsidRPr="00A95E51" w14:paraId="6C429529" w14:textId="77777777" w:rsidTr="004854BB">
        <w:trPr>
          <w:trHeight w:val="864"/>
          <w:jc w:val="right"/>
        </w:trPr>
        <w:tc>
          <w:tcPr>
            <w:tcW w:w="671" w:type="dxa"/>
            <w:vAlign w:val="center"/>
          </w:tcPr>
          <w:p w14:paraId="51D03797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634" w:type="dxa"/>
            <w:vAlign w:val="center"/>
          </w:tcPr>
          <w:p w14:paraId="3BF174A5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Сборные бетонные и железобетонные строительные конструкции</w:t>
            </w:r>
          </w:p>
        </w:tc>
        <w:tc>
          <w:tcPr>
            <w:tcW w:w="2503" w:type="dxa"/>
            <w:vAlign w:val="center"/>
          </w:tcPr>
          <w:p w14:paraId="3914C126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A95E51" w:rsidRPr="00A95E51" w14:paraId="54EC783F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5161353D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634" w:type="dxa"/>
            <w:vAlign w:val="center"/>
          </w:tcPr>
          <w:p w14:paraId="19443C01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Сборные деревянные конструкции</w:t>
            </w:r>
          </w:p>
        </w:tc>
        <w:tc>
          <w:tcPr>
            <w:tcW w:w="2503" w:type="dxa"/>
            <w:vAlign w:val="center"/>
          </w:tcPr>
          <w:p w14:paraId="69BEB9D8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A95E51" w:rsidRPr="00A95E51" w14:paraId="166F2912" w14:textId="77777777" w:rsidTr="004854BB">
        <w:trPr>
          <w:trHeight w:val="660"/>
          <w:jc w:val="right"/>
        </w:trPr>
        <w:tc>
          <w:tcPr>
            <w:tcW w:w="671" w:type="dxa"/>
            <w:vAlign w:val="center"/>
          </w:tcPr>
          <w:p w14:paraId="0ECDEE7E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634" w:type="dxa"/>
            <w:vAlign w:val="center"/>
          </w:tcPr>
          <w:p w14:paraId="0D4316F1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Системы инженерно-технического обеспечения, тепловая изоляция</w:t>
            </w:r>
          </w:p>
        </w:tc>
        <w:tc>
          <w:tcPr>
            <w:tcW w:w="2503" w:type="dxa"/>
            <w:vAlign w:val="center"/>
          </w:tcPr>
          <w:p w14:paraId="61D3D3BF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0,4</w:t>
            </w:r>
          </w:p>
        </w:tc>
      </w:tr>
      <w:tr w:rsidR="00A95E51" w:rsidRPr="00A95E51" w14:paraId="496839BE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4187537B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6634" w:type="dxa"/>
            <w:vAlign w:val="center"/>
          </w:tcPr>
          <w:p w14:paraId="7F9A7B82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Металлические конструкции</w:t>
            </w:r>
          </w:p>
        </w:tc>
        <w:tc>
          <w:tcPr>
            <w:tcW w:w="2503" w:type="dxa"/>
            <w:vAlign w:val="center"/>
          </w:tcPr>
          <w:p w14:paraId="648124A8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0,7</w:t>
            </w:r>
          </w:p>
        </w:tc>
      </w:tr>
      <w:tr w:rsidR="00A95E51" w:rsidRPr="00A95E51" w14:paraId="4F5C93C8" w14:textId="77777777" w:rsidTr="004854BB">
        <w:trPr>
          <w:trHeight w:val="330"/>
          <w:jc w:val="right"/>
        </w:trPr>
        <w:tc>
          <w:tcPr>
            <w:tcW w:w="671" w:type="dxa"/>
            <w:vAlign w:val="center"/>
          </w:tcPr>
          <w:p w14:paraId="3E7BF967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5</w:t>
            </w:r>
          </w:p>
        </w:tc>
        <w:tc>
          <w:tcPr>
            <w:tcW w:w="6634" w:type="dxa"/>
            <w:vAlign w:val="center"/>
          </w:tcPr>
          <w:p w14:paraId="351BB3EB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Сети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02D20D80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0,6</w:t>
            </w:r>
          </w:p>
        </w:tc>
      </w:tr>
    </w:tbl>
    <w:p w14:paraId="2D9E46E9" w14:textId="77777777" w:rsidR="00A95E51" w:rsidRPr="00A95E51" w:rsidRDefault="00A95E51" w:rsidP="00A95E51">
      <w:pPr>
        <w:tabs>
          <w:tab w:val="left" w:pos="1560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</w:p>
    <w:p w14:paraId="2C132EAA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При отсутствии единичных расценок на работы по демонтажу оборудования применяются единичные расценки на монтаж оборудования, включенные в сборники единичных расценок на монтаж оборудования, с применением следующих коэффициентов:</w:t>
      </w:r>
    </w:p>
    <w:p w14:paraId="76F1F750" w14:textId="77777777" w:rsidR="00A95E51" w:rsidRPr="00A95E51" w:rsidRDefault="00A95E51" w:rsidP="00A95E51">
      <w:pPr>
        <w:tabs>
          <w:tab w:val="left" w:pos="851"/>
        </w:tabs>
        <w:spacing w:line="276" w:lineRule="auto"/>
        <w:ind w:left="142"/>
        <w:contextualSpacing/>
        <w:jc w:val="both"/>
        <w:rPr>
          <w:rFonts w:eastAsia="Calibri"/>
          <w:lang w:eastAsia="ru-RU"/>
        </w:rPr>
      </w:pPr>
    </w:p>
    <w:p w14:paraId="3BA9A3CF" w14:textId="77777777" w:rsidR="00A95E51" w:rsidRPr="00A95E51" w:rsidRDefault="00A95E51" w:rsidP="00A95E51">
      <w:pPr>
        <w:tabs>
          <w:tab w:val="left" w:pos="1560"/>
        </w:tabs>
        <w:spacing w:line="276" w:lineRule="auto"/>
        <w:ind w:left="-567" w:firstLine="709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2</w:t>
      </w:r>
    </w:p>
    <w:tbl>
      <w:tblPr>
        <w:tblStyle w:val="1b"/>
        <w:tblW w:w="9924" w:type="dxa"/>
        <w:jc w:val="right"/>
        <w:tblLook w:val="04A0" w:firstRow="1" w:lastRow="0" w:firstColumn="1" w:lastColumn="0" w:noHBand="0" w:noVBand="1"/>
      </w:tblPr>
      <w:tblGrid>
        <w:gridCol w:w="852"/>
        <w:gridCol w:w="7087"/>
        <w:gridCol w:w="1985"/>
      </w:tblGrid>
      <w:tr w:rsidR="00A95E51" w:rsidRPr="00A95E51" w14:paraId="1E9FCEA0" w14:textId="77777777" w:rsidTr="004854BB">
        <w:trPr>
          <w:tblHeader/>
          <w:jc w:val="right"/>
        </w:trPr>
        <w:tc>
          <w:tcPr>
            <w:tcW w:w="852" w:type="dxa"/>
            <w:vAlign w:val="center"/>
          </w:tcPr>
          <w:p w14:paraId="75FE1DD4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-567" w:firstLine="599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№п/п</w:t>
            </w:r>
          </w:p>
        </w:tc>
        <w:tc>
          <w:tcPr>
            <w:tcW w:w="7087" w:type="dxa"/>
            <w:vAlign w:val="center"/>
          </w:tcPr>
          <w:p w14:paraId="30CB41DB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Условия демонтажа оборудования</w:t>
            </w:r>
          </w:p>
        </w:tc>
        <w:tc>
          <w:tcPr>
            <w:tcW w:w="1985" w:type="dxa"/>
            <w:vAlign w:val="center"/>
          </w:tcPr>
          <w:p w14:paraId="00AA4182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Коэффициенты</w:t>
            </w:r>
          </w:p>
        </w:tc>
      </w:tr>
      <w:tr w:rsidR="00A95E51" w:rsidRPr="00A95E51" w14:paraId="3DF9C632" w14:textId="77777777" w:rsidTr="004854BB">
        <w:trPr>
          <w:jc w:val="right"/>
        </w:trPr>
        <w:tc>
          <w:tcPr>
            <w:tcW w:w="852" w:type="dxa"/>
          </w:tcPr>
          <w:p w14:paraId="73C6A504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7" w:type="dxa"/>
          </w:tcPr>
          <w:p w14:paraId="26B58E71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37" w:hanging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и консервированием с целью длительного или кратковременного хранения</w:t>
            </w:r>
          </w:p>
        </w:tc>
        <w:tc>
          <w:tcPr>
            <w:tcW w:w="1985" w:type="dxa"/>
          </w:tcPr>
          <w:p w14:paraId="1E264A36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0,7</w:t>
            </w:r>
          </w:p>
        </w:tc>
      </w:tr>
      <w:tr w:rsidR="00A95E51" w:rsidRPr="00A95E51" w14:paraId="49491BE8" w14:textId="77777777" w:rsidTr="004854BB">
        <w:trPr>
          <w:jc w:val="right"/>
        </w:trPr>
        <w:tc>
          <w:tcPr>
            <w:tcW w:w="852" w:type="dxa"/>
          </w:tcPr>
          <w:p w14:paraId="32353811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87" w:type="dxa"/>
          </w:tcPr>
          <w:p w14:paraId="3EB4BE17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т.п.)</w:t>
            </w:r>
          </w:p>
        </w:tc>
        <w:tc>
          <w:tcPr>
            <w:tcW w:w="1985" w:type="dxa"/>
          </w:tcPr>
          <w:p w14:paraId="36ED50FF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0,6</w:t>
            </w:r>
          </w:p>
        </w:tc>
      </w:tr>
      <w:tr w:rsidR="00A95E51" w:rsidRPr="00A95E51" w14:paraId="090596CB" w14:textId="77777777" w:rsidTr="004854BB">
        <w:trPr>
          <w:jc w:val="right"/>
        </w:trPr>
        <w:tc>
          <w:tcPr>
            <w:tcW w:w="852" w:type="dxa"/>
          </w:tcPr>
          <w:p w14:paraId="14C061E2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87" w:type="dxa"/>
          </w:tcPr>
          <w:p w14:paraId="3377E355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с разборкой и резкой на части</w:t>
            </w:r>
          </w:p>
        </w:tc>
        <w:tc>
          <w:tcPr>
            <w:tcW w:w="1985" w:type="dxa"/>
          </w:tcPr>
          <w:p w14:paraId="1959119E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0,5</w:t>
            </w:r>
          </w:p>
        </w:tc>
      </w:tr>
      <w:tr w:rsidR="00A95E51" w:rsidRPr="00A95E51" w14:paraId="7AB65F7B" w14:textId="77777777" w:rsidTr="004854BB">
        <w:trPr>
          <w:jc w:val="right"/>
        </w:trPr>
        <w:tc>
          <w:tcPr>
            <w:tcW w:w="852" w:type="dxa"/>
          </w:tcPr>
          <w:p w14:paraId="3676ACA8" w14:textId="77777777" w:rsidR="00A95E51" w:rsidRPr="00A95E51" w:rsidRDefault="00A95E51" w:rsidP="00A95E51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7087" w:type="dxa"/>
          </w:tcPr>
          <w:p w14:paraId="01CA8ABE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без разборки и резки</w:t>
            </w:r>
          </w:p>
        </w:tc>
        <w:tc>
          <w:tcPr>
            <w:tcW w:w="1985" w:type="dxa"/>
          </w:tcPr>
          <w:p w14:paraId="5239491B" w14:textId="77777777" w:rsidR="00A95E51" w:rsidRPr="00A95E51" w:rsidRDefault="00A95E51" w:rsidP="00A95E51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0,3</w:t>
            </w:r>
          </w:p>
        </w:tc>
      </w:tr>
    </w:tbl>
    <w:p w14:paraId="4179FE40" w14:textId="77777777" w:rsidR="00A95E51" w:rsidRPr="00A95E51" w:rsidRDefault="00A95E51" w:rsidP="00A95E51">
      <w:pPr>
        <w:tabs>
          <w:tab w:val="left" w:pos="1560"/>
        </w:tabs>
        <w:spacing w:line="276" w:lineRule="auto"/>
        <w:ind w:left="-567" w:firstLine="709"/>
        <w:contextualSpacing/>
        <w:jc w:val="both"/>
        <w:rPr>
          <w:rFonts w:eastAsia="Calibri"/>
          <w:lang w:eastAsia="ru-RU"/>
        </w:rPr>
      </w:pPr>
    </w:p>
    <w:p w14:paraId="001BADC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Условия демонтажа оборудования, указанные в Таблице 2, подлежат обоснованию в проектной и (или) иной технической документации.</w:t>
      </w:r>
    </w:p>
    <w:p w14:paraId="40E74F1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Понижающие коэффициенты на демонтаж применяются к затратам труда и оплате труда рабочих и машинистов и к затратам на эксплуатацию машин и механизмов, включенным в соответствующие единичные расценки, в зависимости от вида разбираемых строительных конструкций, элементов систем и сетей инженерно-технического обеспечения, назначения демонтируемого оборудования. Стоимость материальных ресурсов в расчете не учитывается.</w:t>
      </w:r>
    </w:p>
    <w:p w14:paraId="04D0FE7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указанные в Таблице 1 и Таблице 2, учитывают условия демонтажа строительных конструкций, элементов систем и сетей инженерно-технического обеспечения и оборудования в незакрепленном состоянии, освобожденных от заделки в стены и другие конструкции, а также от сварки или иного крепления с другими конструктивными элементами.</w:t>
      </w:r>
    </w:p>
    <w:p w14:paraId="60BFFC4A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 дополнительные затраты, связанные с пробивкой и заделкой борозд, ниш, гнезд в существующих конструкциях, а также срезка закладных деталей или элементов металлоконструкций, к которым они приварены, учитываются дополнительно в сметных расчетах (сметах) на основании проектной и (или) иной технической документации по соответствующим единичным расценкам.</w:t>
      </w:r>
    </w:p>
    <w:p w14:paraId="403E9EE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тех случаях, когда проектной и (или) иной технической документацией при производстве демонтажных работ установлена необходимость устройства лесов для поддержки демонтируемых (разбираемых) строительных конструкций, элементов систем и сетей инженерно-технического обеспечения и оборудования, дополнительные сметные затраты по установке и разборке поддерживающих лесов надлежит учитывать дополнительно в сметных расчетах (сметах) по соответствующим единичным расценкам в соответствии с положениями методических документов, сведения о которых включены в ФРСН.</w:t>
      </w:r>
    </w:p>
    <w:p w14:paraId="3D625BE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В единичных расценках не учтены затраты по погрузке, вывозке и разгрузке строительного мусора и материалов, не годных для дальнейшего применения, получаемых при разборке конструктивных элементов зданий и сооружений и оборудования. Эти затраты в сметных расчетах (сметах) должны определяться дополнительно исходя из действующих сметных норм на погрузо-разгрузочные работы, перевозку грузов, массы и расстояний от строительной площадки до места складирования материальных ресурсов или размещения мусора (согласно данным проектной и (или) иной технической документации) на специальных полигонах с учетом положений соответствующих методических документов.</w:t>
      </w:r>
    </w:p>
    <w:p w14:paraId="016CAD4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Наименование, перечень, масса и расстояние перевозки строительного мусора и материалов, полученных при разборке, определяются на основании проектной и (или) иной технической документации, проекта организации работ по сносу объекта капитального строительства.</w:t>
      </w:r>
    </w:p>
    <w:p w14:paraId="41400FA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отсутствия в проектной документации необходимых данных о массе разбираемых строительных конструкций, элементов систем и сетей инженерно-технического обеспечения объемный вес строительного мусора может быть принят по следующим данным:</w:t>
      </w:r>
    </w:p>
    <w:p w14:paraId="51A630FF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бетонных конструкций - 2400 кг/м3;</w:t>
      </w:r>
    </w:p>
    <w:p w14:paraId="6FB28113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железобетонных конструкций - 2500 кг/м3,</w:t>
      </w:r>
    </w:p>
    <w:p w14:paraId="2E0E98F5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из кирпича, камня, отбивке штукатурки и облицовочной плитки - 1800 кг/м3;</w:t>
      </w:r>
    </w:p>
    <w:p w14:paraId="010ECDF1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деревянных и каркасно-засыпных - 600 кг/м3;</w:t>
      </w:r>
    </w:p>
    <w:p w14:paraId="2FFF4F59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выполнении прочих работ по разборке (кроме работ по разборке металлоконструкций и оборудования) - 1200 кг/м3.</w:t>
      </w:r>
    </w:p>
    <w:p w14:paraId="7093D70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95E51">
        <w:rPr>
          <w:rFonts w:eastAsia="Calibri"/>
          <w:lang w:eastAsia="ru-RU"/>
        </w:rPr>
        <w:t>Объемный вес строительного мусора от разборки строительных конструкций приведен из учета их в плотном теле конструкций. Масса демонтируемых металлоконструкций и оборудования принимается по данным технической документации</w:t>
      </w:r>
      <w:r w:rsidRPr="00A95E51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72AD411B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материально-технических ресурсов</w:t>
      </w:r>
    </w:p>
    <w:p w14:paraId="7BA7A05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МТР в сметной документации на основании СНБ Минстроя России необходимо руководствоваться следующей приоритетностью:</w:t>
      </w:r>
    </w:p>
    <w:p w14:paraId="68BE38D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ФССЦ 81-01-2001 «Федеральные сметные цены на материалы, изделия и конструкции, применяемые в строительстве» (далее – ФССЦ);</w:t>
      </w:r>
    </w:p>
    <w:p w14:paraId="64975BD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bookmarkStart w:id="10" w:name="_Hlk109231043"/>
      <w:r w:rsidRPr="00A95E51">
        <w:rPr>
          <w:rFonts w:eastAsia="Calibri"/>
          <w:lang w:eastAsia="ru-RU"/>
        </w:rPr>
        <w:t>каталоги текущих цен в строительстве для субъектов Российской Федерации (при наличии);</w:t>
      </w:r>
    </w:p>
    <w:bookmarkEnd w:id="10"/>
    <w:p w14:paraId="1DABD2E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 текущей стоимости МТР, в случае отсутствия таковых в СНБ Минстроя России.</w:t>
      </w:r>
    </w:p>
    <w:p w14:paraId="63C6A26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применение годных для повторного использования ранее использованных один и более раз МТР, их стоимость в текущем уровне цен определяется заказчиком с учетом оценки их возможного повторного использования.</w:t>
      </w:r>
    </w:p>
    <w:p w14:paraId="56527735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МТР, используемых несколько раз при выполнении отдельных видов работ в соответствии с технологией строительного производства (оборачиваемые ресурсы), определяется на основании данных об их количестве с учетом неоднократной оборачиваемости, приведенных в сметных нормах.</w:t>
      </w:r>
    </w:p>
    <w:p w14:paraId="34B401E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оборачиваемых ресурсов, учтенных в сметных нормах с обобщенным наименованием и указанием кода группы или не учтенных в единичных расценках и приведенных с литерой "П", определяется с учетом их нормативной оборачиваемости, указанной в соответствующих разделах сборников сметных норм (единичных расценок).</w:t>
      </w:r>
    </w:p>
    <w:p w14:paraId="78B99FA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Стоимость оборудования, определенного на основании ФССЦ (книги 61-69), определяется с применением индекса изменения сметной стоимости оборудования для отрасли «Электроэнергетика», публикуемого Минстроем России для соответствующего периода.</w:t>
      </w:r>
    </w:p>
    <w:p w14:paraId="042DE3D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ФССЦ учитывают все расходы, связанные с приобретением и доставкой МТР от поставщиков (производителей)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объекта (цена франко-</w:t>
      </w:r>
      <w:proofErr w:type="spellStart"/>
      <w:r w:rsidRPr="00A95E51">
        <w:rPr>
          <w:rFonts w:eastAsia="Calibri"/>
          <w:lang w:eastAsia="ru-RU"/>
        </w:rPr>
        <w:t>приобъектный</w:t>
      </w:r>
      <w:proofErr w:type="spellEnd"/>
      <w:r w:rsidRPr="00A95E51">
        <w:rPr>
          <w:rFonts w:eastAsia="Calibri"/>
          <w:lang w:eastAsia="ru-RU"/>
        </w:rPr>
        <w:t xml:space="preserve"> склад). Транспортные затраты приняты из условия перевозки грузов автомобильным транспортом на расстояние до 30 километров.</w:t>
      </w:r>
    </w:p>
    <w:p w14:paraId="6F8A8EC9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 на дополнительное расстояние сверх учтенного сметными ценами (при соответствующем обосновании проектной и (или) иной технической документацией) определяются как разница между показателями (по позициям цен) перевозки грузов для необходимого расстояния и расстояния, учтенного сметными ценами, и приводятся в сметах отдельной строкой с одновременным указанием кода строительного ресурса, к которому относятся указанные затраты.</w:t>
      </w:r>
    </w:p>
    <w:p w14:paraId="3194B38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грузов, в том числе на дополнительное расстояние, а также на погрузочно-разгрузочные работы при отсутствии индексов на перевозку определяются с использованием индекса к СМР, а при его отсутствии - индекса к сметной стоимости эксплуатации машин и механизмов и относятся к сметной стоимости МТР.</w:t>
      </w:r>
    </w:p>
    <w:p w14:paraId="30B7005B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Предельный уровень ТЗСР к текущей стоимости МТР может быть применен в размере не более 5% от стоимости материалов, не более 3% от стоимости оборудования и запасных частей в случае, если указанные затраты не учтены в текущей цене МТР</w:t>
      </w:r>
      <w:bookmarkStart w:id="11" w:name="_Hlk109288942"/>
      <w:r w:rsidRPr="00A95E51">
        <w:rPr>
          <w:rFonts w:eastAsia="Calibri"/>
          <w:lang w:eastAsia="ru-RU"/>
        </w:rPr>
        <w:t>. Уровень ТЗСР, превышающий указанные предельные значения, возможно использовать в исключительных случаях, например:</w:t>
      </w:r>
    </w:p>
    <w:p w14:paraId="77956824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kern w:val="32"/>
          <w:lang w:eastAsia="ru-RU"/>
        </w:rPr>
        <w:t xml:space="preserve">при </w:t>
      </w:r>
      <w:r w:rsidRPr="00A95E51">
        <w:rPr>
          <w:rFonts w:eastAsia="Calibri"/>
          <w:lang w:eastAsia="ru-RU"/>
        </w:rPr>
        <w:t>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 т.п.;</w:t>
      </w:r>
    </w:p>
    <w:p w14:paraId="39C9190D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особой</w:t>
      </w:r>
      <w:r w:rsidRPr="00A95E51">
        <w:rPr>
          <w:kern w:val="32"/>
          <w:lang w:eastAsia="ru-RU"/>
        </w:rPr>
        <w:t xml:space="preserve"> удалённости и труднодоступности объекта, при соответствующем обосновании.</w:t>
      </w:r>
      <w:bookmarkStart w:id="12" w:name="_Hlk109289126"/>
      <w:bookmarkEnd w:id="11"/>
    </w:p>
    <w:bookmarkEnd w:id="12"/>
    <w:p w14:paraId="72D2D7D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Для обоснования стоимости МТР, учтенных в составе сметной документации по текущим ценам, рекомендуется формировать сводный перечень, сформированный на основе конъюнктурного анализа.  </w:t>
      </w:r>
    </w:p>
    <w:p w14:paraId="1DAE73C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Метод определения сметной стоимости МТР по наиболее экономичному варианту, определенному на основании сбора информации о текущих ценах (конъюнктурный анализ – КА) применяется при отсутствии данных о сметных ценах на отдельные материалы, изделия, конструкции и оборудование в ФЦЦС.</w:t>
      </w:r>
    </w:p>
    <w:p w14:paraId="489D312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Порядок сбора информации о текущих ценах (конъюнктурный анализ) определен положениями Методики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 421/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МОСС).</w:t>
      </w:r>
    </w:p>
    <w:p w14:paraId="5173690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Документы производителей и (или) поставщиков соответствующих МТР, обосновывающие их цену, должны содержать следующую информацию: дата составления документа, дата и (или) сроки действия ценовых предложений, информация об учете (или не учете) в ценах отдельных затрат (перевозка, шефмонтаж, </w:t>
      </w:r>
      <w:proofErr w:type="spellStart"/>
      <w:r w:rsidRPr="00A95E51">
        <w:rPr>
          <w:rFonts w:eastAsia="Calibri"/>
          <w:lang w:eastAsia="ru-RU"/>
        </w:rPr>
        <w:t>шефналадка</w:t>
      </w:r>
      <w:proofErr w:type="spellEnd"/>
      <w:r w:rsidRPr="00A95E51">
        <w:rPr>
          <w:rFonts w:eastAsia="Calibri"/>
          <w:lang w:eastAsia="ru-RU"/>
        </w:rPr>
        <w:t xml:space="preserve"> и тому подобное), а также налога на добавленную стоимость, и должны быть получены в период, не превышающий 1 года до момента определения сметной стоимости.</w:t>
      </w:r>
    </w:p>
    <w:p w14:paraId="5392074A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Характеристики МТР, содержащиеся в ТКП, должны соответствовать техническим требованиям, содержащимся в проектной, рабочей и (или) иной технической документации.</w:t>
      </w:r>
    </w:p>
    <w:p w14:paraId="242E8D7B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необходимости приведения стоимости МТР, учтенных в сметной документации в текущем уровне цен предыдущих периодов, к уровню цен сметной документации, учет инфляции возможен посредством использования следующих вариантов расчета:</w:t>
      </w:r>
    </w:p>
    <w:p w14:paraId="28F67B3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посредством деления указанной в обосновывающем документе цены МТР на соответствующий индекс пересчета, регламентированный Минстроем России на момент действия цены МТР,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России;</w:t>
      </w:r>
    </w:p>
    <w:p w14:paraId="12E24E38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посредством применения к текущей стоимости МТР, включая оборудование, показателя индекса-дефлятора «Темп роста индекса-дефлятора валового накопления основного капитала (инвестиций)», определяемого согласно данным, содержащимся в составе прогноза социально-экономического развития Российской Федерации, опубликованного Минэкономразвития России, с учетом сроков реализации мероприятия.  </w:t>
      </w:r>
    </w:p>
    <w:p w14:paraId="0EDF6E4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текущая стоимость МТР определена с использованием ценовой информации в валюте иностранного государства, то стоимость таких МТР определяется на основании актуальных курсов валют на момент формирования сметной стоимости. На этапе реализации стоимость таких МТР определяется в соответствии с условиями договора.</w:t>
      </w:r>
      <w:r w:rsidRPr="00A95E51" w:rsidDel="002E6B13">
        <w:rPr>
          <w:rFonts w:eastAsia="Calibri"/>
          <w:lang w:eastAsia="ru-RU"/>
        </w:rPr>
        <w:t xml:space="preserve"> </w:t>
      </w:r>
    </w:p>
    <w:p w14:paraId="2C96223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соответствующем обосновании в задании на изготовление и поставку оборудования в сметную стоимость оборудования включаются затраты на:</w:t>
      </w:r>
    </w:p>
    <w:p w14:paraId="16AA4C1A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шефмонтаж и (или) </w:t>
      </w:r>
      <w:proofErr w:type="spellStart"/>
      <w:r w:rsidRPr="00A95E51">
        <w:rPr>
          <w:rFonts w:eastAsia="Calibri"/>
          <w:lang w:eastAsia="ru-RU"/>
        </w:rPr>
        <w:t>шефналадку</w:t>
      </w:r>
      <w:proofErr w:type="spellEnd"/>
      <w:r w:rsidRPr="00A95E51">
        <w:rPr>
          <w:rFonts w:eastAsia="Calibri"/>
          <w:lang w:eastAsia="ru-RU"/>
        </w:rPr>
        <w:t>, осуществляемые представителями производителя оборудования или по его поручению специализированными организациями;</w:t>
      </w:r>
    </w:p>
    <w:p w14:paraId="1E3651E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доводку (калибровку) на месте установки крупного металлургического, угольного, горнорудного и другого технологического оборудования, осуществляемую в технологической цепи совместно с другим оборудованием или при отсутствии у производителя стендов и испытательных станций;</w:t>
      </w:r>
    </w:p>
    <w:p w14:paraId="24F1815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proofErr w:type="spellStart"/>
      <w:r w:rsidRPr="00A95E51">
        <w:rPr>
          <w:rFonts w:eastAsia="Calibri"/>
          <w:lang w:eastAsia="ru-RU"/>
        </w:rPr>
        <w:t>доизготовление</w:t>
      </w:r>
      <w:proofErr w:type="spellEnd"/>
      <w:r w:rsidRPr="00A95E51">
        <w:rPr>
          <w:rFonts w:eastAsia="Calibri"/>
          <w:lang w:eastAsia="ru-RU"/>
        </w:rPr>
        <w:t xml:space="preserve"> (доработку и укрупнительную сборку) в построечных условиях оборудования, как правило, крупногабаритного и тяжеловесного, поставляемого на стройку производителем в виде отдельных узлов и деталей (за исключением </w:t>
      </w:r>
      <w:proofErr w:type="spellStart"/>
      <w:r w:rsidRPr="00A95E51">
        <w:rPr>
          <w:rFonts w:eastAsia="Calibri"/>
          <w:lang w:eastAsia="ru-RU"/>
        </w:rPr>
        <w:t>доизготовления</w:t>
      </w:r>
      <w:proofErr w:type="spellEnd"/>
      <w:r w:rsidRPr="00A95E51">
        <w:rPr>
          <w:rFonts w:eastAsia="Calibri"/>
          <w:lang w:eastAsia="ru-RU"/>
        </w:rPr>
        <w:t>, учитываемого в составе сметных норм на монтаж оборудования);</w:t>
      </w:r>
    </w:p>
    <w:p w14:paraId="5FFC69D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изготовление специальной оснастки в индивидуальном исполнении, необходимой для монтажа крупногабаритного, тяжеловесного или технически сложного при производстве работ по монтажу оборудования;</w:t>
      </w:r>
    </w:p>
    <w:p w14:paraId="7175E2AD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предварительно установленное программное обеспечение;</w:t>
      </w:r>
    </w:p>
    <w:p w14:paraId="52860B2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по оценке соответствия оборудования 1, 2, 3 класса безопасности в процессе его изготовления и иные расходы, связанные с обязательными требованиями по его проверке, сертификации и аттестации;</w:t>
      </w:r>
    </w:p>
    <w:p w14:paraId="7B67686E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приобретение комплекта запасных частей на гарантийный срок эксплуатации;</w:t>
      </w:r>
    </w:p>
    <w:p w14:paraId="491E2ECF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другие затраты, необходимые для доведения его до состояния, в котором оборудование пригодно для использования, за исключением затрат, учитываемых отдельно в ССР.</w:t>
      </w:r>
    </w:p>
    <w:p w14:paraId="25F695F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указанные в пункте 4.22 затраты не учтены в сметной цене оборудования, их стоимость учитывается в локальных сметных расчетах (сметах) дополнительно на основании отдельных расчетов.</w:t>
      </w:r>
    </w:p>
    <w:p w14:paraId="7FE2F0C0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Порядок начисления накладных расходов и сметной прибыли в локальных сметных расчётах при применении СНБ Минстроя России</w:t>
      </w:r>
    </w:p>
    <w:p w14:paraId="403AEA6A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Накладные расходы и сметная прибыль в составе сметной стоимости мероприятий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определенной с применением сметных норм и расценок, сведения о которых включены в ФРСН, определяются в процентах от размера средств на оплату труда, включая оплату труда механизаторов (фонда оплаты труда – ФОТ), учитываемого в составе сметных прямых затрат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 и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).</w:t>
      </w:r>
    </w:p>
    <w:p w14:paraId="2F3FB74E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 строительства:</w:t>
      </w:r>
    </w:p>
    <w:p w14:paraId="3A67FA29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не относящейся к РКС и МПРКС;</w:t>
      </w:r>
    </w:p>
    <w:p w14:paraId="41F4D408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к РКС;</w:t>
      </w:r>
    </w:p>
    <w:p w14:paraId="6877084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МПРКС.</w:t>
      </w:r>
    </w:p>
    <w:p w14:paraId="39856FAC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РКС и МПРКС установлен Правительством РФ в соответствии со статьей 2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местностях».</w:t>
      </w:r>
    </w:p>
    <w:p w14:paraId="4F19F831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учитываемые при определении нормативов накладных расходов по видам работ, и затраты, относимые к накладным расходам в строительстве, но не включенные в нормативы накладных расходов по видам работ, приведены в разделах III и IV Методики 812/пр.</w:t>
      </w:r>
    </w:p>
    <w:p w14:paraId="3253606B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относимые к накладным расходам, но не включенные в нормативы накладных расходов по видам работ, при составлении сметной документации учитываются дополнительно в соответствии с положениями сметных нормативов, сведения о которых включены в ФРСН.</w:t>
      </w:r>
    </w:p>
    <w:p w14:paraId="43A6C2EF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приведенные в разделе III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учтены в нормативах сметной прибыли.</w:t>
      </w:r>
    </w:p>
    <w:p w14:paraId="6F913166" w14:textId="77777777" w:rsidR="00A95E51" w:rsidRPr="00A95E51" w:rsidRDefault="00A95E51" w:rsidP="00A95E51">
      <w:pPr>
        <w:numPr>
          <w:ilvl w:val="1"/>
          <w:numId w:val="41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Затраты, приведенные в разделе </w:t>
      </w:r>
      <w:r w:rsidRPr="00A95E51">
        <w:rPr>
          <w:rFonts w:eastAsia="Calibri"/>
          <w:lang w:val="en-US" w:eastAsia="ru-RU"/>
        </w:rPr>
        <w:t>IV</w:t>
      </w:r>
      <w:r w:rsidRPr="00A95E51">
        <w:rPr>
          <w:rFonts w:eastAsia="Calibri"/>
          <w:lang w:eastAsia="ru-RU"/>
        </w:rPr>
        <w:t xml:space="preserve">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в сметной документации дополнительно не учитываются.</w:t>
      </w:r>
    </w:p>
    <w:p w14:paraId="30210972" w14:textId="77777777" w:rsidR="00A95E51" w:rsidRPr="00A95E51" w:rsidRDefault="00A95E51" w:rsidP="00A95E51">
      <w:pPr>
        <w:numPr>
          <w:ilvl w:val="0"/>
          <w:numId w:val="41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13" w:name="_Toc85038845"/>
      <w:r w:rsidRPr="00A95E51">
        <w:rPr>
          <w:bCs/>
          <w:lang w:eastAsia="ru-RU"/>
        </w:rPr>
        <w:t>ПОРЯДОК УЧЕТА УСЛОЖНЯЮЩИХ ФАКТОРОВ И УСЛОВИЙ ПРОИЗВОДСТВА РАБОТ</w:t>
      </w:r>
      <w:bookmarkEnd w:id="13"/>
    </w:p>
    <w:p w14:paraId="7E7429C2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Сметными нормами учтены оптимальные технологические и организационные схемы производства работ, набор (перечень) машин, механизмов и материальных ресурсов при рациональной организации труда и производства, современного развития техники и технологии, соблюдения требований безопасности в нормальных (стандартных) условиях, не осложненных внешними факторами (стесненность, загазованность и т.п.) и положительных значениях температуры воздуха.</w:t>
      </w:r>
    </w:p>
    <w:p w14:paraId="4973056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"усложняющим" относятся факторы, которые влияют на условия выполнения работ, связанные с технологическими особенностями их выполнения (разработка мокрого грунта, кирпичная кладка закругленных стен, и т.п.). Коэффициенты, учитывающие </w:t>
      </w:r>
      <w:r w:rsidRPr="00A95E51">
        <w:rPr>
          <w:rFonts w:eastAsia="Calibri"/>
          <w:lang w:eastAsia="ru-RU"/>
        </w:rPr>
        <w:lastRenderedPageBreak/>
        <w:t>усложняющие факторы производства работ, приведены в Общих положениях, Технических частях и Приложениях соответствующих сборников.</w:t>
      </w:r>
    </w:p>
    <w:p w14:paraId="5CA2A85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влияние условий производства работ, дифференцированы в зависимости от вида применяемых сметных норм (единичных расценок) для строительства, реконструкции, капитального ремонта, ПНР и сохранения объектов культурного наследия.</w:t>
      </w:r>
    </w:p>
    <w:p w14:paraId="6721EC39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объектам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для учета влияния условий производства работ, указанных в проектной и (или) иной технической документации, применяются коэффициенты к сметным нормам (единичным расценкам), в том числе их отдельным составляющим, приведенные в Приложении № 10 к МОСС для реконструкции и ПНР.</w:t>
      </w:r>
    </w:p>
    <w:p w14:paraId="1B702AE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 отсутствия возможности применения технологических схем производства работ, принятых в сметных нормах, включенных в сборники ГЭСН/ФЕР, и при необходимости проведения работ отдельными малыми участками с ограниченным объемом работ, в том числе снижения производительности машин и механизмов, при определении стоимости работ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по сметным нормам, включенным в ГЭСН/ФЕР, аналогичным технологическим процессам в новом строительстве, в том числе по возведению новых конструктивных элементов, в сметной документации могут быть учтены коэффициенты 1,15 к нормам затрат труда и 1,25 к нормам времени эксплуатации строительных машин (в том числе к оплате труда машинистов).</w:t>
      </w:r>
    </w:p>
    <w:p w14:paraId="392A1AA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ru-RU"/>
        </w:rPr>
        <w:t>Указанные коэффициенты</w:t>
      </w:r>
      <w:r w:rsidRPr="00A95E51">
        <w:rPr>
          <w:rFonts w:eastAsia="Calibri"/>
          <w:lang w:eastAsia="en-US"/>
        </w:rPr>
        <w:t xml:space="preserve"> не применяются:</w:t>
      </w:r>
    </w:p>
    <w:p w14:paraId="1F4E8BB6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 сметным нормам и расценкам сборника ГЭСН/ФЕР 81-02-46-... "Работы при реконструкции зданий и сооружений";</w:t>
      </w:r>
    </w:p>
    <w:p w14:paraId="23527A51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сметным нормам и расценкам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ГЭСНмр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ГЭСНп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ФЕРп</w:t>
      </w:r>
      <w:proofErr w:type="spellEnd"/>
      <w:r w:rsidRPr="00A95E51">
        <w:rPr>
          <w:rFonts w:eastAsia="Calibri"/>
          <w:lang w:eastAsia="ru-RU"/>
        </w:rPr>
        <w:t>;</w:t>
      </w:r>
    </w:p>
    <w:p w14:paraId="2E2B4DEB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демонтажу строительных конструкций, систем и сетей инженерно-технического обеспечения;</w:t>
      </w:r>
    </w:p>
    <w:p w14:paraId="4E58F7B4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дорог, в том числе автомобильных дорог (за исключением внутриквартальных площадок, проездов и дорожек) и искусственных дорожных сооружений в условиях полного ограничения (закрытия) движения сторонних транспортных средств и исключения других факторов, ограничивающих производство указанных работ;</w:t>
      </w:r>
    </w:p>
    <w:p w14:paraId="46238B3C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инженерных сооружений, в том числе гидротехнических сооружений, мостов, путепроводов и тому подобное в объемах, обеспечивающих работы полноценными захватками, сметная стоимость которых определена по сметным нормам ГЭСН/ФЕР;</w:t>
      </w:r>
    </w:p>
    <w:p w14:paraId="5CA14447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(с полной заменой) наружных (магистральных) инженерных сетей (за исключением – внутриквартальных в границах красных линий кварталов, а также капитального ремонта магистральных сетей со сменой отдельных участков трубопровода до 200 м на 1 км сети).</w:t>
      </w:r>
    </w:p>
    <w:p w14:paraId="31C53C93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Особые условия производства работ и усложняющие факторы в обязательном порядке подлежат обоснованию в проектной и (или) иной технической документации. Для более точного отражения условий производства работ в сметной документации рекомендуется в проектной и (или) иной технической документации указывать перечень и объемы работ, выполняемых в стесненных условиях.</w:t>
      </w:r>
    </w:p>
    <w:p w14:paraId="76B192A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усложняющие факторы и условия производства работ, применяются одновременно с другими коэффициентами в порядке, установленном МОСС. При одновременном применении коэффициенты перемножаются, результат округляется до семи знаков после запятой.</w:t>
      </w:r>
    </w:p>
    <w:p w14:paraId="1553831C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Дополнительные затраты при производстве работ в условиях отрицательной температуры воздуха учитываются в главе 9 ССР в установленном порядке.</w:t>
      </w:r>
    </w:p>
    <w:p w14:paraId="3FD98172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ПНР учет дополнительных затрат при производстве работ в зимнее время возможен при температуре воздуха на рабочем месте ниже 0°C посредством применения коэффициента, указанного в пункте 11 Таблицы 4 Приложения № 10 к МОСС.</w:t>
      </w:r>
    </w:p>
    <w:p w14:paraId="1647B5B4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rFonts w:ascii="Calibri Light" w:eastAsia="Calibri" w:hAnsi="Calibri Light"/>
          <w:b/>
          <w:bCs/>
          <w:color w:val="2E74B5"/>
          <w:kern w:val="32"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сводный сметный расчет</w:t>
      </w:r>
    </w:p>
    <w:p w14:paraId="5812723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ССР разрабатывается в текущем/прогнозном уровне цен.</w:t>
      </w:r>
    </w:p>
    <w:p w14:paraId="56B467D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необходимости при определении сметной стоимости базисно-индексным методом одновременно с ССР в текущем/прогнозном уровне цен может быть разработан отдельный ССР в базисном уровне цен. При этом затраты, определяемые в сметной документации с применением нормативов, выраженных в процентах, рассчитываются с применением таких нормативов к базисному и текущему уровням цен в отдельных ССР.</w:t>
      </w:r>
    </w:p>
    <w:p w14:paraId="61FFB3D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Сметные затраты в ССР распределяются по главам в соответствии с Положением о составе разделов проектной документации и требованиях к их содержанию, утвержденным постановлением Правительства РФ от 16.02.2008 № 87.</w:t>
      </w:r>
    </w:p>
    <w:p w14:paraId="29A2FCB3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В главу 8 ССР включаются затраты на устройство и ликвидацию титульных временных зданий и сооружений (далее –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), перечень которых приведен в Методике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строительства, утвержденной приказом Минстроя России от 19.06.2020 №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).</w:t>
      </w:r>
    </w:p>
    <w:p w14:paraId="6CC51E5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Размер средств, предназначенных на строительство и разборку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 главе 8 ССР определяется:</w:t>
      </w:r>
    </w:p>
    <w:p w14:paraId="6129DC1A" w14:textId="77777777" w:rsidR="00A95E51" w:rsidRPr="00A95E51" w:rsidRDefault="00A95E51" w:rsidP="00A95E51">
      <w:pPr>
        <w:numPr>
          <w:ilvl w:val="2"/>
          <w:numId w:val="41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bCs/>
          <w:color w:val="000000"/>
          <w:kern w:val="32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>По сметным нормативам от итога строительных-монтажных работ по главам 1-7 ССР, установленным приложением 1 к Методике 332/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>, с применением коэффициента 0,8 для объектов реконструкции, технического перевооружения, а также при строительстве вторых и последующих очередей, новых цехов, производств и коммуникаций на территории действующих предприятий и (или) примыкающей к ним территории, а также подлежащим согласованию с заказчиком.</w:t>
      </w:r>
    </w:p>
    <w:p w14:paraId="1DEDABE3" w14:textId="77777777" w:rsidR="00A95E51" w:rsidRPr="00A95E51" w:rsidRDefault="00A95E51" w:rsidP="00A95E51">
      <w:pPr>
        <w:numPr>
          <w:ilvl w:val="2"/>
          <w:numId w:val="41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Расчетным методом на основании данных ПОС, в соответствии с указанным в нем перечнем и характеристиками титульных 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 xml:space="preserve">, </w:t>
      </w:r>
      <w:r w:rsidRPr="00A95E51">
        <w:rPr>
          <w:rFonts w:eastAsia="Calibri"/>
          <w:color w:val="000000"/>
          <w:lang w:eastAsia="ru-RU"/>
        </w:rPr>
        <w:t>на основании локальных сметных расчетов (смет) и калькуляций, составленных с применением сметных нормативов, сведения о которых включены в ФРСН:</w:t>
      </w:r>
    </w:p>
    <w:p w14:paraId="41E7E028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 в случае </w:t>
      </w:r>
      <w:r w:rsidRPr="00A95E51">
        <w:rPr>
          <w:rFonts w:eastAsia="Calibri"/>
          <w:lang w:eastAsia="ru-RU"/>
        </w:rPr>
        <w:t>отсутствия сметных нормативов в Приложении № 1 к Методике 332/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;</w:t>
      </w:r>
    </w:p>
    <w:p w14:paraId="778F3D50" w14:textId="77777777" w:rsidR="00A95E51" w:rsidRPr="00A95E51" w:rsidRDefault="00A95E51" w:rsidP="00A95E51">
      <w:pPr>
        <w:numPr>
          <w:ilvl w:val="0"/>
          <w:numId w:val="48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lang w:eastAsia="ru-RU"/>
        </w:rPr>
        <w:t xml:space="preserve">в случае принятия расчетного метода в качестве приоритетного при определении затрат на титульные </w:t>
      </w:r>
      <w:proofErr w:type="spellStart"/>
      <w:r w:rsidRPr="00A95E51">
        <w:rPr>
          <w:rFonts w:eastAsia="Calibri"/>
          <w:lang w:eastAsia="ru-RU"/>
        </w:rPr>
        <w:t>ВЗиС</w:t>
      </w:r>
      <w:proofErr w:type="spellEnd"/>
      <w:r w:rsidRPr="00A95E51">
        <w:rPr>
          <w:rFonts w:eastAsia="Calibri"/>
          <w:lang w:eastAsia="ru-RU"/>
        </w:rPr>
        <w:t>, но не</w:t>
      </w:r>
      <w:r w:rsidRPr="00A95E51">
        <w:rPr>
          <w:rFonts w:eastAsia="Calibri"/>
          <w:bCs/>
          <w:kern w:val="32"/>
          <w:lang w:eastAsia="ru-RU"/>
        </w:rPr>
        <w:t xml:space="preserve"> выше лимита средств, определенному по нормативу.</w:t>
      </w:r>
    </w:p>
    <w:p w14:paraId="4D301DA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Метод определения затрат на строительство и разборку титульных временных зданий и сооружений устанавливается при подготовке технического задания на разработку проектной документации. Одновременное использование нормативного и расчетного метода не допускается.</w:t>
      </w:r>
    </w:p>
    <w:p w14:paraId="49EE3F3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возведение, демонтаж, амортизацию, текущий ремонт, эксплуатацию, содержание и перемещение нетитульных временных зданий и сооружений учитываются нормативами накладных расходов.</w:t>
      </w:r>
    </w:p>
    <w:p w14:paraId="53FD3AD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lastRenderedPageBreak/>
        <w:t xml:space="preserve">Перечень иных временных сооружений и специальных вспомогательных сооружений и устройств, не учтенных нормативами затрат на строительство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а также порядок определения затрат на их устройство и ликвидацию, снос объекта капитального строительства приведены в Методике 332/пр.</w:t>
      </w:r>
    </w:p>
    <w:p w14:paraId="34C7139C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Расчеты между заказчиком и подрядчиком производятся за фактически построенные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подтвержденные сметными расчетами, составленными с применением сметных нормативов, сведения о которых включены в ФРСН, в пределах лимита по главе 8 ССР.</w:t>
      </w:r>
    </w:p>
    <w:p w14:paraId="544828C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9 ССР включается сметная стоимость прочих работ и затрат, не учитываемых в других главах ССР, рекомендуемый перечень которых приведен в Приложении № 9 к МОСС.</w:t>
      </w:r>
    </w:p>
    <w:p w14:paraId="6F5143B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отрицательных значениях температуры воздуха, когда производство работ осуществляется как на открытых строительных площадках, так и в закрытых помещениях, соответствующие дополнительные затраты учитываются нормативами дополнительных затрат, связанных с выполнением работ в зимнее время (далее - НДЗ) в порядке, установленном Методикой определения дополнительных затрат при производстве работ в зимнее время, утвержденной приказом Минстроя России от 25.05.2021 №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), включенной в ФРСН.</w:t>
      </w:r>
    </w:p>
    <w:p w14:paraId="1B9FB32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НДЗ не предназначены для определения сметной стоимости ПНР и не применяются при определении сметной стоимости мероприятий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>, осуществляемых исключительно в летний период, а также при определении сметной стоимости отдельных видов ремонтно-строительных работ в случае, если выполнение таких работ осуществляется при положительной температуре воздуха в отапливаемых помещениях.</w:t>
      </w:r>
    </w:p>
    <w:p w14:paraId="58A79EFA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Дополнительные затраты при производстве работ в зимнее время определяются расчетом по нормам таблицы приложения 1 Методики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по видам строительства от итога строительных и монтажных работ по главам 1-8 ССР, при производстве СМР в зимнее время на объектах промышленного строительства, в соответствии с температурной зоной и продолжительностью расчетного зимнего периода для каждого конкретного объекта.</w:t>
      </w:r>
    </w:p>
    <w:p w14:paraId="318ABA2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Приложения 3 Методики 325/пр.</w:t>
      </w:r>
    </w:p>
    <w:p w14:paraId="32155CF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подрядной организации, связанные с выездом рабочего персонала (командировочные расходы, стоимость проезда, проживания, провоз инструментов, приборов, приспособлений и т.д.), определяются расчетом на основании трудоемкости основных рабочих и механизаторов не выше сметной с учетом времени нахождения в пути.</w:t>
      </w:r>
    </w:p>
    <w:p w14:paraId="789D2D6C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Рекомендуется принимать суточные, выплачиваемые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Федерации.</w:t>
      </w:r>
    </w:p>
    <w:p w14:paraId="40E48E6E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1B38F81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Затраты на проведение ПНР определяются на основании сметных расчетов, сформированных с учетом положений настоящих рекомендаций. При разработке сметной документации для объектов производственного и непроизводственного назначения, связанных с получением дохода от реализации товаров и (или) услуг, сметная стоимость ПНР разделяется на затраты «вхолостую» и «под нагрузкой» в соответствии со структурой ПНР, приведенной в Приложении 8 к МОСС. Необходимость разработки Программы ПНР и, соответственно, </w:t>
      </w:r>
      <w:r w:rsidRPr="00A95E51">
        <w:rPr>
          <w:rFonts w:eastAsia="Calibri"/>
          <w:bCs/>
          <w:kern w:val="32"/>
          <w:lang w:eastAsia="ru-RU"/>
        </w:rPr>
        <w:lastRenderedPageBreak/>
        <w:t>составления сметной документации на ПНР должны быть отражены заказчиком в задании на проектирование.</w:t>
      </w:r>
    </w:p>
    <w:p w14:paraId="739253EF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проведением на территории строительства специальных мероприятий по обеспечению нормальных условий труда, соответствующих требованиям охраны труда и безопасности производства (в том числе затраты на мероприятия по предотвращению вирусных инфекций), определяются расчетом в соответствии с пунктом 13 МОСС, но не выше 0,3 % от стоимости СМР по главам1-8.</w:t>
      </w:r>
    </w:p>
    <w:p w14:paraId="4FAADFE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предоставлением обязательной банковской гарантии в качестве обеспечения исполнения контракта и гарантийных обязательств, в случаях, когда указанные затраты являются обязательными по требованию заказчика, учитываются по расчету в соответствии с пунктом 161 МОСС с учетом требований заказчика.</w:t>
      </w:r>
    </w:p>
    <w:p w14:paraId="695C5FEE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страхование объекта строительства, осуществляемое в соответствии с законодательством Российской Федерации, включаются в ССР согласно ценам и тарифам специализированных организаций в соответствии с пунктом 13 МОСС с учетом требований заказчика.</w:t>
      </w:r>
    </w:p>
    <w:p w14:paraId="17D92473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10 ССР включаются затраты на содержание технического заказчика и затраты заказчика на проведение строительного контроля.</w:t>
      </w:r>
    </w:p>
    <w:p w14:paraId="0058145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Средства на содержание технического заказчика определяются на основании расчета в соответствии с положениями Методики определения затрат на осуществление функций технического заказчика, утвержденной приказом Минстроя России от 02.06.2020 № 297/пр.</w:t>
      </w:r>
    </w:p>
    <w:p w14:paraId="4E1108CC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Размер затрат на осуществление строительного контроля определяется исходя из общей стоимости строительства на основании расчета с применением нормативов, приведенных в приложении к «Положению о проведении строительного контроля при осуществлении строительства, реконструкции и капитального ремонта объектов капитального строительства», утвержденного постановлением Правительства РФ от 21.06.2010 № 468.</w:t>
      </w:r>
    </w:p>
    <w:p w14:paraId="7E8B66FA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11 ССР включаются затраты, связанные с подготовкой эксплуатационных кадров для реконструируемых объектов капитального строительства, определяемые по сметным расчетам на отдельный вид затрат на основании проектной и (или) иной технической документации.</w:t>
      </w:r>
    </w:p>
    <w:p w14:paraId="44FA907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Перечень работ и затрат, включаемых в главу 12 ССР, приведен в пункте 171 МОСС.</w:t>
      </w:r>
    </w:p>
    <w:p w14:paraId="5B85D51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384BB5DB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4B8C73B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66410A0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 необходимости определения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rFonts w:eastAsia="Calibri"/>
          <w:bCs/>
          <w:kern w:val="32"/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682B803E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Расчет средств на проведение технологического и ценового аудита рекомендуется определять в соответствии с постановлением Правительства РФ от 30.04.2013 № 382 «О 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Федерации», а также на основании калькуляций, составленных потенциальными участниками закупочных процедур по выбору экспертной организации в соответствии с положениями действующего законодательства Российской Федерации с учетом источников финансирования объекта строительства.</w:t>
      </w:r>
    </w:p>
    <w:p w14:paraId="67E3BD7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Приведенная в МОСС номенклатура работ и затрат, включаемых в главы 1, 9 и 12 ССР, не является исчерпывающей и может быть дополнена затратами, учитывающими специфические особенности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и относимыми на капитальные вложения в случаях, предусмотренных законодательством Российской Федерации, а также при соответствующем обосновании проектной и (или) иной технической документацией либо техническим заданием на разработку такой документации.</w:t>
      </w:r>
    </w:p>
    <w:p w14:paraId="26E84A22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</w:t>
      </w:r>
    </w:p>
    <w:p w14:paraId="3870D444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определяется от итогов по главам 1-12 ССР, отражается отдельной строкой с распределением по графам 4-8. Предельный уровень непредвиденных расходов и затрат составляет 2%. По факту в обязательном порядке подтверждается расчетами Подрядчика. В случае отсутствия обоснования средства остаются у заказчика.</w:t>
      </w:r>
    </w:p>
    <w:p w14:paraId="5B8C0D58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остается в распоряжении заказчика.</w:t>
      </w:r>
    </w:p>
    <w:p w14:paraId="26E8BE3D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внесении изменений в сметную документацию разрабатывается ССР,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 При необходимости дополнительно могут быть разработаны: отдельный ССР, определяющий сметную стоимость изменений, сопоставительные ведомости объемов работ и сопоставительные ведомости изменения сметной стоимости, подготовленные в соответствии с Приложениями № 12 и 13 к МОСС.</w:t>
      </w:r>
    </w:p>
    <w:p w14:paraId="49D6F8C2" w14:textId="77777777" w:rsidR="00A95E51" w:rsidRPr="00A95E51" w:rsidRDefault="00A95E51" w:rsidP="00A95E51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57121912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подготовке сметной документации следует руководствоваться требованиями к формату документов, представляемых в электронной форме, утверждаемыми Минстроем 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изысканий, утвержденного постановлением Правительства РФ от 05.03.2007 № 145.</w:t>
      </w:r>
    </w:p>
    <w:p w14:paraId="6C58A546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Требования к формату электронных документов, представляемых для проведения государственной экспертизы проектной документации и (или) результатов </w:t>
      </w:r>
      <w:r w:rsidRPr="00A95E51">
        <w:rPr>
          <w:rFonts w:eastAsia="Calibri"/>
          <w:bCs/>
          <w:kern w:val="32"/>
          <w:lang w:eastAsia="ru-RU"/>
        </w:rPr>
        <w:lastRenderedPageBreak/>
        <w:t>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 установлены приказом Минстроя России от 12.05.2017 № 783/пр.</w:t>
      </w:r>
    </w:p>
    <w:p w14:paraId="1FC95130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Рекомендованные образцы форм сметной документации и требования к их оформлению приведены в Приложениях №№ 2-7 и Примечаниях к ним МОСС.</w:t>
      </w:r>
    </w:p>
    <w:p w14:paraId="093C6181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Позицией локального сметного расчета является совокупность нормы (расценки) и неучтенных ею ресурсов, но при этом в составе позиции для единичных расценок выводятся как исходные неучтенные ресурсы (с обобщенными наименованиями и кодами групп), так и ресурсы, на которые они были заменены. Производится сквозная нумерация позиций сметного расчета, к которым относятся единичные расценки, а также связанные с ними неучтенные материальные ресурсы.</w:t>
      </w:r>
    </w:p>
    <w:p w14:paraId="6C7534C7" w14:textId="77777777" w:rsidR="00A95E51" w:rsidRPr="00A95E51" w:rsidRDefault="00A95E51" w:rsidP="00A95E51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Наименования единичных расценок в смете указываются полностью, без сокращений, наименования МТР должны содержать максимально полное описание характеристик в соответствии с проектной и (или) иной технической документацией и соответствовать наименованию ФССЦ или обосновывающим сметную цену МТР документам.</w:t>
      </w:r>
    </w:p>
    <w:p w14:paraId="3706862A" w14:textId="335CBD73" w:rsidR="00FF769B" w:rsidRPr="00DC4B9D" w:rsidRDefault="00A95E51" w:rsidP="00FF769B">
      <w:pPr>
        <w:numPr>
          <w:ilvl w:val="1"/>
          <w:numId w:val="41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составлении локальных сметных расчетов (смет) детализация объекта капитального строительства на конструктивные решения (элементы) и (или) комплексы (виды) работ определяется заказчиком исходя из архитектурных, функционально-технологических, конструктивных и инженерно-технических решений, содержащихся в проектной и (или) иной технической документации, в зависимости от специфических особенностей объекта капитального строительства.</w:t>
      </w:r>
      <w:bookmarkStart w:id="14" w:name="_GoBack"/>
      <w:bookmarkEnd w:id="9"/>
      <w:bookmarkEnd w:id="14"/>
    </w:p>
    <w:sectPr w:rsidR="00FF769B" w:rsidRPr="00DC4B9D" w:rsidSect="00FF769B">
      <w:pgSz w:w="11906" w:h="16838"/>
      <w:pgMar w:top="1134" w:right="567" w:bottom="822" w:left="1134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0F4DC" w16cex:dateUtc="2023-03-10T09:29:37Z"/>
  <w16cex:commentExtensible w16cex:durableId="4E19F69D" w16cex:dateUtc="2023-03-13T05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9E991" w14:textId="77777777" w:rsidR="001F48EE" w:rsidRDefault="001F48EE">
      <w:r>
        <w:separator/>
      </w:r>
    </w:p>
  </w:endnote>
  <w:endnote w:type="continuationSeparator" w:id="0">
    <w:p w14:paraId="60A6FB92" w14:textId="77777777" w:rsidR="001F48EE" w:rsidRDefault="001F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D3A7A" w14:textId="77777777" w:rsidR="001F48EE" w:rsidRDefault="001F48EE">
      <w:r>
        <w:separator/>
      </w:r>
    </w:p>
  </w:footnote>
  <w:footnote w:type="continuationSeparator" w:id="0">
    <w:p w14:paraId="036AD872" w14:textId="77777777" w:rsidR="001F48EE" w:rsidRDefault="001F4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singleLevel"/>
    <w:tmpl w:val="00000012"/>
    <w:name w:val="WW8Num18"/>
    <w:lvl w:ilvl="0">
      <w:numFmt w:val="decimal"/>
      <w:pStyle w:val="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95374D9"/>
    <w:multiLevelType w:val="multilevel"/>
    <w:tmpl w:val="E4808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7F4BDC"/>
    <w:multiLevelType w:val="hybridMultilevel"/>
    <w:tmpl w:val="DC1A956E"/>
    <w:lvl w:ilvl="0" w:tplc="26D28A0C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57140E74">
      <w:start w:val="1"/>
      <w:numFmt w:val="lowerLetter"/>
      <w:lvlText w:val="%2."/>
      <w:lvlJc w:val="left"/>
      <w:pPr>
        <w:tabs>
          <w:tab w:val="num" w:pos="0"/>
        </w:tabs>
        <w:ind w:left="1255" w:hanging="360"/>
      </w:pPr>
    </w:lvl>
    <w:lvl w:ilvl="2" w:tplc="FA60E124">
      <w:start w:val="1"/>
      <w:numFmt w:val="lowerRoman"/>
      <w:lvlText w:val="%3."/>
      <w:lvlJc w:val="right"/>
      <w:pPr>
        <w:tabs>
          <w:tab w:val="num" w:pos="0"/>
        </w:tabs>
        <w:ind w:left="1975" w:hanging="180"/>
      </w:pPr>
    </w:lvl>
    <w:lvl w:ilvl="3" w:tplc="C210835E">
      <w:start w:val="1"/>
      <w:numFmt w:val="decimal"/>
      <w:lvlText w:val="%4."/>
      <w:lvlJc w:val="left"/>
      <w:pPr>
        <w:tabs>
          <w:tab w:val="num" w:pos="0"/>
        </w:tabs>
        <w:ind w:left="2695" w:hanging="360"/>
      </w:pPr>
    </w:lvl>
    <w:lvl w:ilvl="4" w:tplc="1BBEAFCE">
      <w:start w:val="1"/>
      <w:numFmt w:val="lowerLetter"/>
      <w:lvlText w:val="%5."/>
      <w:lvlJc w:val="left"/>
      <w:pPr>
        <w:tabs>
          <w:tab w:val="num" w:pos="0"/>
        </w:tabs>
        <w:ind w:left="3415" w:hanging="360"/>
      </w:pPr>
    </w:lvl>
    <w:lvl w:ilvl="5" w:tplc="F0AA5C56">
      <w:start w:val="1"/>
      <w:numFmt w:val="lowerRoman"/>
      <w:lvlText w:val="%6."/>
      <w:lvlJc w:val="right"/>
      <w:pPr>
        <w:tabs>
          <w:tab w:val="num" w:pos="0"/>
        </w:tabs>
        <w:ind w:left="4135" w:hanging="180"/>
      </w:pPr>
    </w:lvl>
    <w:lvl w:ilvl="6" w:tplc="A3D216CE">
      <w:start w:val="1"/>
      <w:numFmt w:val="decimal"/>
      <w:lvlText w:val="%7."/>
      <w:lvlJc w:val="left"/>
      <w:pPr>
        <w:tabs>
          <w:tab w:val="num" w:pos="0"/>
        </w:tabs>
        <w:ind w:left="4855" w:hanging="360"/>
      </w:pPr>
    </w:lvl>
    <w:lvl w:ilvl="7" w:tplc="577A7B48">
      <w:start w:val="1"/>
      <w:numFmt w:val="lowerLetter"/>
      <w:lvlText w:val="%8."/>
      <w:lvlJc w:val="left"/>
      <w:pPr>
        <w:tabs>
          <w:tab w:val="num" w:pos="0"/>
        </w:tabs>
        <w:ind w:left="5575" w:hanging="360"/>
      </w:pPr>
    </w:lvl>
    <w:lvl w:ilvl="8" w:tplc="D5F4B1D2">
      <w:start w:val="1"/>
      <w:numFmt w:val="lowerRoman"/>
      <w:lvlText w:val="%9."/>
      <w:lvlJc w:val="right"/>
      <w:pPr>
        <w:tabs>
          <w:tab w:val="num" w:pos="0"/>
        </w:tabs>
        <w:ind w:left="6295" w:hanging="180"/>
      </w:pPr>
    </w:lvl>
  </w:abstractNum>
  <w:abstractNum w:abstractNumId="4" w15:restartNumberingAfterBreak="0">
    <w:nsid w:val="0B9049F9"/>
    <w:multiLevelType w:val="multilevel"/>
    <w:tmpl w:val="4CE2C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BD21659"/>
    <w:multiLevelType w:val="hybridMultilevel"/>
    <w:tmpl w:val="32D68322"/>
    <w:lvl w:ilvl="0" w:tplc="FF40CC9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136F8A"/>
    <w:multiLevelType w:val="multilevel"/>
    <w:tmpl w:val="9F86475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19B2623"/>
    <w:multiLevelType w:val="hybridMultilevel"/>
    <w:tmpl w:val="B16ABD6E"/>
    <w:lvl w:ilvl="0" w:tplc="9F7CDD9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</w:rPr>
    </w:lvl>
    <w:lvl w:ilvl="1" w:tplc="8B0A7272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DE8654C4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ED6F2B8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2DD46942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9BB01D84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C2085B24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D048F9CA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5E8C750C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B6A5D8F"/>
    <w:multiLevelType w:val="hybridMultilevel"/>
    <w:tmpl w:val="E4DEAE68"/>
    <w:lvl w:ilvl="0" w:tplc="6374C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56B978">
      <w:start w:val="1"/>
      <w:numFmt w:val="lowerLetter"/>
      <w:lvlText w:val="%2."/>
      <w:lvlJc w:val="left"/>
      <w:pPr>
        <w:ind w:left="1440" w:hanging="360"/>
      </w:pPr>
    </w:lvl>
    <w:lvl w:ilvl="2" w:tplc="D9F05BD2">
      <w:start w:val="1"/>
      <w:numFmt w:val="lowerRoman"/>
      <w:lvlText w:val="%3."/>
      <w:lvlJc w:val="right"/>
      <w:pPr>
        <w:ind w:left="2160" w:hanging="180"/>
      </w:pPr>
    </w:lvl>
    <w:lvl w:ilvl="3" w:tplc="DF487BAC">
      <w:start w:val="1"/>
      <w:numFmt w:val="decimal"/>
      <w:lvlText w:val="%4."/>
      <w:lvlJc w:val="left"/>
      <w:pPr>
        <w:ind w:left="2880" w:hanging="360"/>
      </w:pPr>
    </w:lvl>
    <w:lvl w:ilvl="4" w:tplc="FB160BF0">
      <w:start w:val="1"/>
      <w:numFmt w:val="lowerLetter"/>
      <w:lvlText w:val="%5."/>
      <w:lvlJc w:val="left"/>
      <w:pPr>
        <w:ind w:left="3600" w:hanging="360"/>
      </w:pPr>
    </w:lvl>
    <w:lvl w:ilvl="5" w:tplc="6CCC4A4E">
      <w:start w:val="1"/>
      <w:numFmt w:val="lowerRoman"/>
      <w:lvlText w:val="%6."/>
      <w:lvlJc w:val="right"/>
      <w:pPr>
        <w:ind w:left="4320" w:hanging="180"/>
      </w:pPr>
    </w:lvl>
    <w:lvl w:ilvl="6" w:tplc="14985F98">
      <w:start w:val="1"/>
      <w:numFmt w:val="decimal"/>
      <w:lvlText w:val="%7."/>
      <w:lvlJc w:val="left"/>
      <w:pPr>
        <w:ind w:left="5040" w:hanging="360"/>
      </w:pPr>
    </w:lvl>
    <w:lvl w:ilvl="7" w:tplc="DACC57DA">
      <w:start w:val="1"/>
      <w:numFmt w:val="lowerLetter"/>
      <w:lvlText w:val="%8."/>
      <w:lvlJc w:val="left"/>
      <w:pPr>
        <w:ind w:left="5760" w:hanging="360"/>
      </w:pPr>
    </w:lvl>
    <w:lvl w:ilvl="8" w:tplc="B62E918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941A7"/>
    <w:multiLevelType w:val="hybridMultilevel"/>
    <w:tmpl w:val="C1E87E86"/>
    <w:lvl w:ilvl="0" w:tplc="6A828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8E50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241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60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EEB8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B47A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7AC9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0AD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647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7701B"/>
    <w:multiLevelType w:val="multilevel"/>
    <w:tmpl w:val="4CE2C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A9B3C27"/>
    <w:multiLevelType w:val="hybridMultilevel"/>
    <w:tmpl w:val="CD68BCAA"/>
    <w:lvl w:ilvl="0" w:tplc="735AA70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26F298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BC4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B408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82A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10A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8AD8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363C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D2C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D167182"/>
    <w:multiLevelType w:val="hybridMultilevel"/>
    <w:tmpl w:val="CDAE1C06"/>
    <w:lvl w:ilvl="0" w:tplc="841E02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1E3CEC">
      <w:start w:val="1"/>
      <w:numFmt w:val="lowerLetter"/>
      <w:lvlText w:val="%2."/>
      <w:lvlJc w:val="left"/>
      <w:pPr>
        <w:ind w:left="1440" w:hanging="360"/>
      </w:pPr>
    </w:lvl>
    <w:lvl w:ilvl="2" w:tplc="ADF883FE">
      <w:start w:val="1"/>
      <w:numFmt w:val="lowerRoman"/>
      <w:lvlText w:val="%3."/>
      <w:lvlJc w:val="right"/>
      <w:pPr>
        <w:ind w:left="2160" w:hanging="180"/>
      </w:pPr>
    </w:lvl>
    <w:lvl w:ilvl="3" w:tplc="388E0B04">
      <w:start w:val="1"/>
      <w:numFmt w:val="decimal"/>
      <w:lvlText w:val="%4."/>
      <w:lvlJc w:val="left"/>
      <w:pPr>
        <w:ind w:left="2880" w:hanging="360"/>
      </w:pPr>
    </w:lvl>
    <w:lvl w:ilvl="4" w:tplc="173015C4">
      <w:start w:val="1"/>
      <w:numFmt w:val="lowerLetter"/>
      <w:lvlText w:val="%5."/>
      <w:lvlJc w:val="left"/>
      <w:pPr>
        <w:ind w:left="3600" w:hanging="360"/>
      </w:pPr>
    </w:lvl>
    <w:lvl w:ilvl="5" w:tplc="5F828D26">
      <w:start w:val="1"/>
      <w:numFmt w:val="lowerRoman"/>
      <w:lvlText w:val="%6."/>
      <w:lvlJc w:val="right"/>
      <w:pPr>
        <w:ind w:left="4320" w:hanging="180"/>
      </w:pPr>
    </w:lvl>
    <w:lvl w:ilvl="6" w:tplc="61624E8E">
      <w:start w:val="1"/>
      <w:numFmt w:val="decimal"/>
      <w:lvlText w:val="%7."/>
      <w:lvlJc w:val="left"/>
      <w:pPr>
        <w:ind w:left="5040" w:hanging="360"/>
      </w:pPr>
    </w:lvl>
    <w:lvl w:ilvl="7" w:tplc="15D25818">
      <w:start w:val="1"/>
      <w:numFmt w:val="lowerLetter"/>
      <w:lvlText w:val="%8."/>
      <w:lvlJc w:val="left"/>
      <w:pPr>
        <w:ind w:left="5760" w:hanging="360"/>
      </w:pPr>
    </w:lvl>
    <w:lvl w:ilvl="8" w:tplc="EC88DA3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D2D63"/>
    <w:multiLevelType w:val="hybridMultilevel"/>
    <w:tmpl w:val="D8BE9618"/>
    <w:lvl w:ilvl="0" w:tplc="7BD2B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E7126">
      <w:start w:val="1"/>
      <w:numFmt w:val="lowerLetter"/>
      <w:lvlText w:val="%2."/>
      <w:lvlJc w:val="left"/>
      <w:pPr>
        <w:ind w:left="1440" w:hanging="360"/>
      </w:pPr>
    </w:lvl>
    <w:lvl w:ilvl="2" w:tplc="58FAC1F2">
      <w:start w:val="1"/>
      <w:numFmt w:val="lowerRoman"/>
      <w:lvlText w:val="%3."/>
      <w:lvlJc w:val="right"/>
      <w:pPr>
        <w:ind w:left="2160" w:hanging="180"/>
      </w:pPr>
    </w:lvl>
    <w:lvl w:ilvl="3" w:tplc="F1FC02D6">
      <w:start w:val="1"/>
      <w:numFmt w:val="decimal"/>
      <w:lvlText w:val="%4."/>
      <w:lvlJc w:val="left"/>
      <w:pPr>
        <w:ind w:left="2880" w:hanging="360"/>
      </w:pPr>
    </w:lvl>
    <w:lvl w:ilvl="4" w:tplc="2E503AF0">
      <w:start w:val="1"/>
      <w:numFmt w:val="lowerLetter"/>
      <w:lvlText w:val="%5."/>
      <w:lvlJc w:val="left"/>
      <w:pPr>
        <w:ind w:left="3600" w:hanging="360"/>
      </w:pPr>
    </w:lvl>
    <w:lvl w:ilvl="5" w:tplc="5E960388">
      <w:start w:val="1"/>
      <w:numFmt w:val="lowerRoman"/>
      <w:lvlText w:val="%6."/>
      <w:lvlJc w:val="right"/>
      <w:pPr>
        <w:ind w:left="4320" w:hanging="180"/>
      </w:pPr>
    </w:lvl>
    <w:lvl w:ilvl="6" w:tplc="C79A0CC8">
      <w:start w:val="1"/>
      <w:numFmt w:val="decimal"/>
      <w:lvlText w:val="%7."/>
      <w:lvlJc w:val="left"/>
      <w:pPr>
        <w:ind w:left="5040" w:hanging="360"/>
      </w:pPr>
    </w:lvl>
    <w:lvl w:ilvl="7" w:tplc="A4723C2E">
      <w:start w:val="1"/>
      <w:numFmt w:val="lowerLetter"/>
      <w:lvlText w:val="%8."/>
      <w:lvlJc w:val="left"/>
      <w:pPr>
        <w:ind w:left="5760" w:hanging="360"/>
      </w:pPr>
    </w:lvl>
    <w:lvl w:ilvl="8" w:tplc="434E80B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C02A6"/>
    <w:multiLevelType w:val="multilevel"/>
    <w:tmpl w:val="D29AE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F30E98"/>
    <w:multiLevelType w:val="hybridMultilevel"/>
    <w:tmpl w:val="1978706C"/>
    <w:lvl w:ilvl="0" w:tplc="66A09D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B90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CB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F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8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7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68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2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EA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6A8"/>
    <w:multiLevelType w:val="hybridMultilevel"/>
    <w:tmpl w:val="A208AA4E"/>
    <w:lvl w:ilvl="0" w:tplc="9F7CDD90">
      <w:start w:val="1"/>
      <w:numFmt w:val="bullet"/>
      <w:lvlText w:val=""/>
      <w:lvlJc w:val="left"/>
      <w:pPr>
        <w:ind w:left="130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8" w15:restartNumberingAfterBreak="0">
    <w:nsid w:val="320F27E6"/>
    <w:multiLevelType w:val="multilevel"/>
    <w:tmpl w:val="2676F8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8D0C5A"/>
    <w:multiLevelType w:val="hybridMultilevel"/>
    <w:tmpl w:val="0FBE4508"/>
    <w:lvl w:ilvl="0" w:tplc="BD1C52F6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1220B2D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C3C86AC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F2CC49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876484D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0FDCB49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018B2B8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D6484A5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5E8906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29F49C4"/>
    <w:multiLevelType w:val="hybridMultilevel"/>
    <w:tmpl w:val="59129608"/>
    <w:lvl w:ilvl="0" w:tplc="6748A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D6497"/>
    <w:multiLevelType w:val="hybridMultilevel"/>
    <w:tmpl w:val="92F68788"/>
    <w:lvl w:ilvl="0" w:tplc="D4E6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01AD0AE">
      <w:start w:val="1"/>
      <w:numFmt w:val="lowerLetter"/>
      <w:lvlText w:val="%2."/>
      <w:lvlJc w:val="left"/>
      <w:pPr>
        <w:ind w:left="1364" w:hanging="360"/>
      </w:pPr>
    </w:lvl>
    <w:lvl w:ilvl="2" w:tplc="53EAB022">
      <w:start w:val="1"/>
      <w:numFmt w:val="lowerRoman"/>
      <w:lvlText w:val="%3."/>
      <w:lvlJc w:val="right"/>
      <w:pPr>
        <w:ind w:left="2084" w:hanging="180"/>
      </w:pPr>
    </w:lvl>
    <w:lvl w:ilvl="3" w:tplc="9B20BB7C">
      <w:start w:val="1"/>
      <w:numFmt w:val="decimal"/>
      <w:lvlText w:val="%4."/>
      <w:lvlJc w:val="left"/>
      <w:pPr>
        <w:ind w:left="2804" w:hanging="360"/>
      </w:pPr>
    </w:lvl>
    <w:lvl w:ilvl="4" w:tplc="202A4EC4">
      <w:start w:val="1"/>
      <w:numFmt w:val="lowerLetter"/>
      <w:lvlText w:val="%5."/>
      <w:lvlJc w:val="left"/>
      <w:pPr>
        <w:ind w:left="3524" w:hanging="360"/>
      </w:pPr>
    </w:lvl>
    <w:lvl w:ilvl="5" w:tplc="45066F3C">
      <w:start w:val="1"/>
      <w:numFmt w:val="lowerRoman"/>
      <w:lvlText w:val="%6."/>
      <w:lvlJc w:val="right"/>
      <w:pPr>
        <w:ind w:left="4244" w:hanging="180"/>
      </w:pPr>
    </w:lvl>
    <w:lvl w:ilvl="6" w:tplc="E0F48572">
      <w:start w:val="1"/>
      <w:numFmt w:val="decimal"/>
      <w:lvlText w:val="%7."/>
      <w:lvlJc w:val="left"/>
      <w:pPr>
        <w:ind w:left="4964" w:hanging="360"/>
      </w:pPr>
    </w:lvl>
    <w:lvl w:ilvl="7" w:tplc="EDC8BC58">
      <w:start w:val="1"/>
      <w:numFmt w:val="lowerLetter"/>
      <w:lvlText w:val="%8."/>
      <w:lvlJc w:val="left"/>
      <w:pPr>
        <w:ind w:left="5684" w:hanging="360"/>
      </w:pPr>
    </w:lvl>
    <w:lvl w:ilvl="8" w:tplc="F9F00952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9B87DFE"/>
    <w:multiLevelType w:val="hybridMultilevel"/>
    <w:tmpl w:val="A39E5D04"/>
    <w:lvl w:ilvl="0" w:tplc="D7DC9A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770BD0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0D011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44C57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F6A7A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52CC31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DFA56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0DEB91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A96AE7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D0E091E"/>
    <w:multiLevelType w:val="hybridMultilevel"/>
    <w:tmpl w:val="E37ED4BE"/>
    <w:lvl w:ilvl="0" w:tplc="3D56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E4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EA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26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C06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662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02D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4E3B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FE0F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B688E"/>
    <w:multiLevelType w:val="hybridMultilevel"/>
    <w:tmpl w:val="A9CC9450"/>
    <w:lvl w:ilvl="0" w:tplc="5712B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CE0E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386C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78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2062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D82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15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A5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5466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02F88"/>
    <w:multiLevelType w:val="hybridMultilevel"/>
    <w:tmpl w:val="6F5800EE"/>
    <w:lvl w:ilvl="0" w:tplc="107A5E26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6C3E1B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7A9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103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7A9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68F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CE6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82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2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3EF20F08"/>
    <w:multiLevelType w:val="hybridMultilevel"/>
    <w:tmpl w:val="BAE4465C"/>
    <w:lvl w:ilvl="0" w:tplc="A17811A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A5BED4B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E9A63444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E107AF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5284C56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FDA9E08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C02BFE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F4AA59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1526A21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1B20491"/>
    <w:multiLevelType w:val="hybridMultilevel"/>
    <w:tmpl w:val="9B7210D4"/>
    <w:lvl w:ilvl="0" w:tplc="DEEA5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2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44BD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BC8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464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98A9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43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4A7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A0E8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D2585"/>
    <w:multiLevelType w:val="hybridMultilevel"/>
    <w:tmpl w:val="175A471C"/>
    <w:lvl w:ilvl="0" w:tplc="8E6E9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F44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CE2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91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742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6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2444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011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849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252FBA"/>
    <w:multiLevelType w:val="multilevel"/>
    <w:tmpl w:val="5D3E8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1211ED"/>
    <w:multiLevelType w:val="hybridMultilevel"/>
    <w:tmpl w:val="D3D65A82"/>
    <w:lvl w:ilvl="0" w:tplc="8A1CD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154E996">
      <w:start w:val="1"/>
      <w:numFmt w:val="lowerLetter"/>
      <w:lvlText w:val="%2."/>
      <w:lvlJc w:val="left"/>
      <w:pPr>
        <w:ind w:left="1440" w:hanging="360"/>
      </w:pPr>
    </w:lvl>
    <w:lvl w:ilvl="2" w:tplc="B888C4FE">
      <w:start w:val="1"/>
      <w:numFmt w:val="lowerRoman"/>
      <w:lvlText w:val="%3."/>
      <w:lvlJc w:val="right"/>
      <w:pPr>
        <w:ind w:left="2160" w:hanging="180"/>
      </w:pPr>
    </w:lvl>
    <w:lvl w:ilvl="3" w:tplc="B8900BC0">
      <w:start w:val="1"/>
      <w:numFmt w:val="decimal"/>
      <w:lvlText w:val="%4."/>
      <w:lvlJc w:val="left"/>
      <w:pPr>
        <w:ind w:left="2880" w:hanging="360"/>
      </w:pPr>
    </w:lvl>
    <w:lvl w:ilvl="4" w:tplc="436293E0">
      <w:start w:val="1"/>
      <w:numFmt w:val="lowerLetter"/>
      <w:lvlText w:val="%5."/>
      <w:lvlJc w:val="left"/>
      <w:pPr>
        <w:ind w:left="3600" w:hanging="360"/>
      </w:pPr>
    </w:lvl>
    <w:lvl w:ilvl="5" w:tplc="7278E2D8">
      <w:start w:val="1"/>
      <w:numFmt w:val="lowerRoman"/>
      <w:lvlText w:val="%6."/>
      <w:lvlJc w:val="right"/>
      <w:pPr>
        <w:ind w:left="4320" w:hanging="180"/>
      </w:pPr>
    </w:lvl>
    <w:lvl w:ilvl="6" w:tplc="38A810D6">
      <w:start w:val="1"/>
      <w:numFmt w:val="decimal"/>
      <w:lvlText w:val="%7."/>
      <w:lvlJc w:val="left"/>
      <w:pPr>
        <w:ind w:left="5040" w:hanging="360"/>
      </w:pPr>
    </w:lvl>
    <w:lvl w:ilvl="7" w:tplc="4550647C">
      <w:start w:val="1"/>
      <w:numFmt w:val="lowerLetter"/>
      <w:lvlText w:val="%8."/>
      <w:lvlJc w:val="left"/>
      <w:pPr>
        <w:ind w:left="5760" w:hanging="360"/>
      </w:pPr>
    </w:lvl>
    <w:lvl w:ilvl="8" w:tplc="7C96FB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474CA"/>
    <w:multiLevelType w:val="hybridMultilevel"/>
    <w:tmpl w:val="84727336"/>
    <w:lvl w:ilvl="0" w:tplc="6D6C3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B64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228B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888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C9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E4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ADB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5AEB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C657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D2B2FD7"/>
    <w:multiLevelType w:val="multilevel"/>
    <w:tmpl w:val="1256B6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4E7770FC"/>
    <w:multiLevelType w:val="multilevel"/>
    <w:tmpl w:val="ED905082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12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02" w:hanging="12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576348AC"/>
    <w:multiLevelType w:val="multilevel"/>
    <w:tmpl w:val="4C2E0A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36" w15:restartNumberingAfterBreak="0">
    <w:nsid w:val="5A7B6505"/>
    <w:multiLevelType w:val="multilevel"/>
    <w:tmpl w:val="336AB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5C6556FA"/>
    <w:multiLevelType w:val="hybridMultilevel"/>
    <w:tmpl w:val="DA7EBE20"/>
    <w:lvl w:ilvl="0" w:tplc="72328A4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7AEE76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4205E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14C01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CAB5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CFA6C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C606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FA78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F83D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DAF5A19"/>
    <w:multiLevelType w:val="hybridMultilevel"/>
    <w:tmpl w:val="776CFD70"/>
    <w:lvl w:ilvl="0" w:tplc="79320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8E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D89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40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4E2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40B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0E3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7C1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4A6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192796"/>
    <w:multiLevelType w:val="hybridMultilevel"/>
    <w:tmpl w:val="BD4A3F50"/>
    <w:lvl w:ilvl="0" w:tplc="2E96A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6C6D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07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32B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AD6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483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274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4A6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B2BFA"/>
    <w:multiLevelType w:val="hybridMultilevel"/>
    <w:tmpl w:val="8BB405BC"/>
    <w:lvl w:ilvl="0" w:tplc="7C9E17D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8D009EC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23EEC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420964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7CC3FE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87CD24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18CC5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689D4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A5CB9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D534A82"/>
    <w:multiLevelType w:val="multilevel"/>
    <w:tmpl w:val="3ACE7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06947C8"/>
    <w:multiLevelType w:val="hybridMultilevel"/>
    <w:tmpl w:val="1F22B2B6"/>
    <w:lvl w:ilvl="0" w:tplc="A22046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086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461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62D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13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681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0A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D4B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4C3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118B2"/>
    <w:multiLevelType w:val="hybridMultilevel"/>
    <w:tmpl w:val="2A3A65E4"/>
    <w:lvl w:ilvl="0" w:tplc="37DED1B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0000"/>
      </w:rPr>
    </w:lvl>
    <w:lvl w:ilvl="1" w:tplc="BE6E35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A46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68F4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B61A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CA55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843A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949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F68C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61420A7"/>
    <w:multiLevelType w:val="hybridMultilevel"/>
    <w:tmpl w:val="A0964038"/>
    <w:lvl w:ilvl="0" w:tplc="FA24E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85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A4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6A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DE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985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2A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21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6D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70D44"/>
    <w:multiLevelType w:val="hybridMultilevel"/>
    <w:tmpl w:val="2736925C"/>
    <w:lvl w:ilvl="0" w:tplc="5A3649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4ACA2A2">
      <w:start w:val="1"/>
      <w:numFmt w:val="lowerLetter"/>
      <w:lvlText w:val="%2."/>
      <w:lvlJc w:val="left"/>
      <w:pPr>
        <w:ind w:left="1440" w:hanging="360"/>
      </w:pPr>
    </w:lvl>
    <w:lvl w:ilvl="2" w:tplc="A094CB1C">
      <w:start w:val="1"/>
      <w:numFmt w:val="lowerRoman"/>
      <w:lvlText w:val="%3."/>
      <w:lvlJc w:val="right"/>
      <w:pPr>
        <w:ind w:left="2160" w:hanging="180"/>
      </w:pPr>
    </w:lvl>
    <w:lvl w:ilvl="3" w:tplc="AC026A46">
      <w:start w:val="1"/>
      <w:numFmt w:val="decimal"/>
      <w:lvlText w:val="%4."/>
      <w:lvlJc w:val="left"/>
      <w:pPr>
        <w:ind w:left="2880" w:hanging="360"/>
      </w:pPr>
    </w:lvl>
    <w:lvl w:ilvl="4" w:tplc="71C86390">
      <w:start w:val="1"/>
      <w:numFmt w:val="lowerLetter"/>
      <w:lvlText w:val="%5."/>
      <w:lvlJc w:val="left"/>
      <w:pPr>
        <w:ind w:left="3600" w:hanging="360"/>
      </w:pPr>
    </w:lvl>
    <w:lvl w:ilvl="5" w:tplc="01F8FD98">
      <w:start w:val="1"/>
      <w:numFmt w:val="lowerRoman"/>
      <w:lvlText w:val="%6."/>
      <w:lvlJc w:val="right"/>
      <w:pPr>
        <w:ind w:left="4320" w:hanging="180"/>
      </w:pPr>
    </w:lvl>
    <w:lvl w:ilvl="6" w:tplc="342CF3D6">
      <w:start w:val="1"/>
      <w:numFmt w:val="decimal"/>
      <w:lvlText w:val="%7."/>
      <w:lvlJc w:val="left"/>
      <w:pPr>
        <w:ind w:left="5040" w:hanging="360"/>
      </w:pPr>
    </w:lvl>
    <w:lvl w:ilvl="7" w:tplc="E5F8FE9C">
      <w:start w:val="1"/>
      <w:numFmt w:val="lowerLetter"/>
      <w:lvlText w:val="%8."/>
      <w:lvlJc w:val="left"/>
      <w:pPr>
        <w:ind w:left="5760" w:hanging="360"/>
      </w:pPr>
    </w:lvl>
    <w:lvl w:ilvl="8" w:tplc="3AE24752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610F8"/>
    <w:multiLevelType w:val="multilevel"/>
    <w:tmpl w:val="F5905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F570A51"/>
    <w:multiLevelType w:val="multilevel"/>
    <w:tmpl w:val="D120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5"/>
  </w:num>
  <w:num w:numId="3">
    <w:abstractNumId w:val="43"/>
  </w:num>
  <w:num w:numId="4">
    <w:abstractNumId w:val="19"/>
  </w:num>
  <w:num w:numId="5">
    <w:abstractNumId w:val="3"/>
  </w:num>
  <w:num w:numId="6">
    <w:abstractNumId w:val="8"/>
  </w:num>
  <w:num w:numId="7">
    <w:abstractNumId w:val="28"/>
  </w:num>
  <w:num w:numId="8">
    <w:abstractNumId w:val="26"/>
  </w:num>
  <w:num w:numId="9">
    <w:abstractNumId w:val="10"/>
  </w:num>
  <w:num w:numId="10">
    <w:abstractNumId w:val="27"/>
  </w:num>
  <w:num w:numId="11">
    <w:abstractNumId w:val="23"/>
  </w:num>
  <w:num w:numId="12">
    <w:abstractNumId w:val="24"/>
  </w:num>
  <w:num w:numId="13">
    <w:abstractNumId w:val="31"/>
  </w:num>
  <w:num w:numId="14">
    <w:abstractNumId w:val="22"/>
  </w:num>
  <w:num w:numId="15">
    <w:abstractNumId w:val="16"/>
  </w:num>
  <w:num w:numId="16">
    <w:abstractNumId w:val="44"/>
  </w:num>
  <w:num w:numId="17">
    <w:abstractNumId w:val="40"/>
  </w:num>
  <w:num w:numId="18">
    <w:abstractNumId w:val="37"/>
  </w:num>
  <w:num w:numId="19">
    <w:abstractNumId w:val="21"/>
  </w:num>
  <w:num w:numId="20">
    <w:abstractNumId w:val="14"/>
  </w:num>
  <w:num w:numId="21">
    <w:abstractNumId w:val="13"/>
  </w:num>
  <w:num w:numId="22">
    <w:abstractNumId w:val="30"/>
  </w:num>
  <w:num w:numId="23">
    <w:abstractNumId w:val="15"/>
  </w:num>
  <w:num w:numId="24">
    <w:abstractNumId w:val="9"/>
  </w:num>
  <w:num w:numId="25">
    <w:abstractNumId w:val="33"/>
  </w:num>
  <w:num w:numId="26">
    <w:abstractNumId w:val="2"/>
  </w:num>
  <w:num w:numId="27">
    <w:abstractNumId w:val="45"/>
  </w:num>
  <w:num w:numId="28">
    <w:abstractNumId w:val="36"/>
  </w:num>
  <w:num w:numId="29">
    <w:abstractNumId w:val="29"/>
  </w:num>
  <w:num w:numId="30">
    <w:abstractNumId w:val="42"/>
  </w:num>
  <w:num w:numId="31">
    <w:abstractNumId w:val="38"/>
  </w:num>
  <w:num w:numId="32">
    <w:abstractNumId w:val="7"/>
  </w:num>
  <w:num w:numId="33">
    <w:abstractNumId w:val="35"/>
  </w:num>
  <w:num w:numId="34">
    <w:abstractNumId w:val="39"/>
  </w:num>
  <w:num w:numId="35">
    <w:abstractNumId w:val="34"/>
  </w:num>
  <w:num w:numId="36">
    <w:abstractNumId w:val="1"/>
  </w:num>
  <w:num w:numId="37">
    <w:abstractNumId w:val="0"/>
  </w:num>
  <w:num w:numId="38">
    <w:abstractNumId w:val="18"/>
  </w:num>
  <w:num w:numId="39">
    <w:abstractNumId w:val="6"/>
  </w:num>
  <w:num w:numId="40">
    <w:abstractNumId w:val="17"/>
  </w:num>
  <w:num w:numId="41">
    <w:abstractNumId w:val="46"/>
  </w:num>
  <w:num w:numId="42">
    <w:abstractNumId w:val="41"/>
  </w:num>
  <w:num w:numId="43">
    <w:abstractNumId w:val="5"/>
  </w:num>
  <w:num w:numId="44">
    <w:abstractNumId w:val="47"/>
  </w:num>
  <w:num w:numId="45">
    <w:abstractNumId w:val="4"/>
  </w:num>
  <w:num w:numId="46">
    <w:abstractNumId w:val="11"/>
  </w:num>
  <w:num w:numId="47">
    <w:abstractNumId w:val="32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E35"/>
    <w:rsid w:val="0000037D"/>
    <w:rsid w:val="000130D6"/>
    <w:rsid w:val="00014929"/>
    <w:rsid w:val="00022B72"/>
    <w:rsid w:val="00022FDE"/>
    <w:rsid w:val="00093439"/>
    <w:rsid w:val="000E1981"/>
    <w:rsid w:val="000F170D"/>
    <w:rsid w:val="00110E12"/>
    <w:rsid w:val="001F48EE"/>
    <w:rsid w:val="00214A8E"/>
    <w:rsid w:val="00265DA5"/>
    <w:rsid w:val="002B1E64"/>
    <w:rsid w:val="002E38A8"/>
    <w:rsid w:val="002E6287"/>
    <w:rsid w:val="00317E21"/>
    <w:rsid w:val="003922C3"/>
    <w:rsid w:val="003C0EAB"/>
    <w:rsid w:val="003D6D57"/>
    <w:rsid w:val="003E0C19"/>
    <w:rsid w:val="00400D55"/>
    <w:rsid w:val="00426A15"/>
    <w:rsid w:val="00434DA5"/>
    <w:rsid w:val="004734CA"/>
    <w:rsid w:val="004C03F2"/>
    <w:rsid w:val="00505AB6"/>
    <w:rsid w:val="005220BD"/>
    <w:rsid w:val="005551F8"/>
    <w:rsid w:val="005A6AFC"/>
    <w:rsid w:val="005B5CA8"/>
    <w:rsid w:val="005C4A6A"/>
    <w:rsid w:val="005D7118"/>
    <w:rsid w:val="005E29D9"/>
    <w:rsid w:val="00631806"/>
    <w:rsid w:val="00640D9A"/>
    <w:rsid w:val="006571AD"/>
    <w:rsid w:val="00671B8E"/>
    <w:rsid w:val="00677EC0"/>
    <w:rsid w:val="00694EEB"/>
    <w:rsid w:val="006C4376"/>
    <w:rsid w:val="006C47ED"/>
    <w:rsid w:val="006F0007"/>
    <w:rsid w:val="00702E13"/>
    <w:rsid w:val="00734065"/>
    <w:rsid w:val="00735297"/>
    <w:rsid w:val="00753E52"/>
    <w:rsid w:val="00793FA1"/>
    <w:rsid w:val="007B6023"/>
    <w:rsid w:val="007F30FD"/>
    <w:rsid w:val="00881654"/>
    <w:rsid w:val="00884CFF"/>
    <w:rsid w:val="008C43AB"/>
    <w:rsid w:val="008E15FA"/>
    <w:rsid w:val="009306F3"/>
    <w:rsid w:val="00931AA3"/>
    <w:rsid w:val="009469ED"/>
    <w:rsid w:val="009A6014"/>
    <w:rsid w:val="009B7FC1"/>
    <w:rsid w:val="009D57E5"/>
    <w:rsid w:val="009E0D09"/>
    <w:rsid w:val="00A739DF"/>
    <w:rsid w:val="00A77589"/>
    <w:rsid w:val="00A940BA"/>
    <w:rsid w:val="00A946DA"/>
    <w:rsid w:val="00A95E51"/>
    <w:rsid w:val="00AC2205"/>
    <w:rsid w:val="00AC37A3"/>
    <w:rsid w:val="00AD1913"/>
    <w:rsid w:val="00AF1100"/>
    <w:rsid w:val="00B06617"/>
    <w:rsid w:val="00B16701"/>
    <w:rsid w:val="00B401E1"/>
    <w:rsid w:val="00B510B3"/>
    <w:rsid w:val="00B83D89"/>
    <w:rsid w:val="00B84869"/>
    <w:rsid w:val="00BC4CC6"/>
    <w:rsid w:val="00C11D88"/>
    <w:rsid w:val="00C13371"/>
    <w:rsid w:val="00C30FB1"/>
    <w:rsid w:val="00C32ACE"/>
    <w:rsid w:val="00C46874"/>
    <w:rsid w:val="00C640FF"/>
    <w:rsid w:val="00C76000"/>
    <w:rsid w:val="00D22D12"/>
    <w:rsid w:val="00D56E8F"/>
    <w:rsid w:val="00DC2187"/>
    <w:rsid w:val="00DC3DB3"/>
    <w:rsid w:val="00DC4B9D"/>
    <w:rsid w:val="00DE569B"/>
    <w:rsid w:val="00DE5C23"/>
    <w:rsid w:val="00DF4ABB"/>
    <w:rsid w:val="00E3178E"/>
    <w:rsid w:val="00E4607F"/>
    <w:rsid w:val="00E534A9"/>
    <w:rsid w:val="00E54378"/>
    <w:rsid w:val="00E94296"/>
    <w:rsid w:val="00EC5D17"/>
    <w:rsid w:val="00EF10E7"/>
    <w:rsid w:val="00F0055F"/>
    <w:rsid w:val="00F20584"/>
    <w:rsid w:val="00F25EEA"/>
    <w:rsid w:val="00F72E35"/>
    <w:rsid w:val="00FB76FA"/>
    <w:rsid w:val="00FD34B9"/>
    <w:rsid w:val="00FE0F55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0C85A"/>
  <w15:docId w15:val="{2151A160-A27B-43D0-BE1D-BA189743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A15"/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alibri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Calibri" w:hAnsi="Symbol" w:cs="Symbol" w:hint="default"/>
      <w:color w:val="FF000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4">
    <w:name w:val="Основной шрифт абзаца1"/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33">
    <w:name w:val="Основной текст 3 Знак"/>
    <w:rPr>
      <w:sz w:val="16"/>
      <w:szCs w:val="16"/>
      <w:lang w:eastAsia="ar-SA" w:bidi="ar-SA"/>
    </w:rPr>
  </w:style>
  <w:style w:type="character" w:customStyle="1" w:styleId="af2">
    <w:name w:val="Название Знак"/>
    <w:rPr>
      <w:b/>
      <w:bCs/>
      <w:sz w:val="24"/>
      <w:szCs w:val="24"/>
      <w:lang w:eastAsia="ar-SA" w:bidi="ar-SA"/>
    </w:rPr>
  </w:style>
  <w:style w:type="character" w:customStyle="1" w:styleId="34">
    <w:name w:val="Основной текст с отступом 3 Знак"/>
    <w:rPr>
      <w:sz w:val="16"/>
      <w:szCs w:val="16"/>
    </w:rPr>
  </w:style>
  <w:style w:type="paragraph" w:customStyle="1" w:styleId="16">
    <w:name w:val="Заголовок1"/>
    <w:basedOn w:val="a"/>
    <w:next w:val="af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Указатель1"/>
    <w:basedOn w:val="a"/>
    <w:pPr>
      <w:suppressLineNumbers/>
    </w:pPr>
    <w:rPr>
      <w:rFonts w:cs="Mangal"/>
    </w:rPr>
  </w:style>
  <w:style w:type="paragraph" w:customStyle="1" w:styleId="19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9"/>
    <w:next w:val="19"/>
    <w:rPr>
      <w:b/>
      <w:bCs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280" w:after="280"/>
    </w:pPr>
  </w:style>
  <w:style w:type="paragraph" w:customStyle="1" w:styleId="310">
    <w:name w:val="Основной текст 31"/>
    <w:basedOn w:val="a"/>
    <w:pPr>
      <w:spacing w:before="80" w:after="120"/>
      <w:ind w:firstLine="567"/>
      <w:jc w:val="both"/>
    </w:pPr>
    <w:rPr>
      <w:sz w:val="16"/>
      <w:szCs w:val="16"/>
    </w:rPr>
  </w:style>
  <w:style w:type="paragraph" w:styleId="a4">
    <w:name w:val="Title"/>
    <w:basedOn w:val="a"/>
    <w:next w:val="a6"/>
    <w:link w:val="a3"/>
    <w:qFormat/>
    <w:pPr>
      <w:jc w:val="center"/>
    </w:pPr>
    <w:rPr>
      <w:b/>
      <w:bCs/>
    </w:rPr>
  </w:style>
  <w:style w:type="paragraph" w:styleId="a6">
    <w:name w:val="Subtitle"/>
    <w:basedOn w:val="a"/>
    <w:next w:val="af3"/>
    <w:link w:val="a5"/>
    <w:qFormat/>
    <w:pPr>
      <w:spacing w:after="60"/>
      <w:jc w:val="center"/>
    </w:pPr>
    <w:rPr>
      <w:rFonts w:ascii="Arial" w:hAnsi="Arial" w:cs="Arial"/>
    </w:rPr>
  </w:style>
  <w:style w:type="paragraph" w:styleId="af8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f9"/>
    <w:uiPriority w:val="34"/>
    <w:qFormat/>
    <w:pPr>
      <w:spacing w:before="280" w:after="280"/>
    </w:p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character" w:customStyle="1" w:styleId="1a">
    <w:name w:val="Основной текст1"/>
    <w:rPr>
      <w:rFonts w:ascii="Times New Roman" w:hAnsi="Times New Roman" w:cs="Times New Roman"/>
      <w:spacing w:val="0"/>
      <w:sz w:val="23"/>
    </w:rPr>
  </w:style>
  <w:style w:type="character" w:customStyle="1" w:styleId="afc">
    <w:name w:val="Îñíîâíîé òåêñò"/>
    <w:rPr>
      <w:rFonts w:ascii="Times New Roman" w:hAnsi="Times New Roman" w:cs="Times New Roman"/>
      <w:spacing w:val="0"/>
      <w:sz w:val="23"/>
      <w:lang w:val="ru-RU"/>
    </w:rPr>
  </w:style>
  <w:style w:type="paragraph" w:styleId="afd">
    <w:name w:val="footer"/>
    <w:basedOn w:val="a"/>
    <w:link w:val="af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sz w:val="24"/>
      <w:szCs w:val="24"/>
      <w:lang w:eastAsia="ar-SA"/>
    </w:rPr>
  </w:style>
  <w:style w:type="character" w:styleId="aff">
    <w:name w:val="page number"/>
    <w:uiPriority w:val="99"/>
    <w:semiHidden/>
    <w:unhideWhenUsed/>
  </w:style>
  <w:style w:type="character" w:styleId="aff0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rPr>
      <w:color w:val="000000"/>
      <w:sz w:val="24"/>
      <w:szCs w:val="24"/>
    </w:rPr>
  </w:style>
  <w:style w:type="table" w:styleId="aff1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 8"/>
    <w:basedOn w:val="a"/>
    <w:pPr>
      <w:spacing w:line="276" w:lineRule="auto"/>
      <w:ind w:right="-1"/>
      <w:jc w:val="both"/>
    </w:pPr>
    <w:rPr>
      <w:bCs/>
      <w:spacing w:val="1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lang w:eastAsia="ar-SA"/>
    </w:rPr>
  </w:style>
  <w:style w:type="character" w:customStyle="1" w:styleId="af9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8"/>
    <w:uiPriority w:val="34"/>
    <w:qFormat/>
    <w:rPr>
      <w:sz w:val="24"/>
      <w:szCs w:val="24"/>
      <w:lang w:eastAsia="ar-SA"/>
    </w:rPr>
  </w:style>
  <w:style w:type="paragraph" w:styleId="aff5">
    <w:name w:val="No Spacing"/>
    <w:uiPriority w:val="1"/>
    <w:qFormat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6">
    <w:name w:val="footnote text"/>
    <w:basedOn w:val="a"/>
    <w:link w:val="aff7"/>
    <w:uiPriority w:val="99"/>
    <w:pPr>
      <w:widowControl w:val="0"/>
    </w:pPr>
    <w:rPr>
      <w:rFonts w:ascii="Calibri" w:eastAsia="Calibri" w:hAnsi="Calibri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Pr>
      <w:rFonts w:ascii="Calibri" w:eastAsia="Calibri" w:hAnsi="Calibri"/>
    </w:rPr>
  </w:style>
  <w:style w:type="table" w:customStyle="1" w:styleId="72">
    <w:name w:val="Сетка таблицы7"/>
    <w:basedOn w:val="a1"/>
    <w:next w:val="aff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Body Text Indent"/>
    <w:basedOn w:val="a"/>
    <w:link w:val="aff9"/>
    <w:rsid w:val="00DE569B"/>
    <w:pPr>
      <w:suppressAutoHyphens/>
      <w:spacing w:after="120"/>
      <w:ind w:left="283"/>
    </w:pPr>
    <w:rPr>
      <w:szCs w:val="20"/>
    </w:rPr>
  </w:style>
  <w:style w:type="character" w:customStyle="1" w:styleId="aff9">
    <w:name w:val="Основной текст с отступом Знак"/>
    <w:basedOn w:val="a0"/>
    <w:link w:val="aff8"/>
    <w:rsid w:val="00DE569B"/>
    <w:rPr>
      <w:sz w:val="24"/>
      <w:lang w:eastAsia="ar-SA"/>
    </w:rPr>
  </w:style>
  <w:style w:type="paragraph" w:customStyle="1" w:styleId="1">
    <w:name w:val="Маркированный список1"/>
    <w:basedOn w:val="af4"/>
    <w:rsid w:val="00C13371"/>
    <w:pPr>
      <w:keepLines/>
      <w:numPr>
        <w:numId w:val="37"/>
      </w:numPr>
      <w:tabs>
        <w:tab w:val="clear" w:pos="0"/>
        <w:tab w:val="num" w:pos="360"/>
      </w:tabs>
      <w:suppressAutoHyphens/>
      <w:spacing w:before="60" w:after="60"/>
      <w:ind w:left="283" w:hanging="283"/>
      <w:jc w:val="both"/>
    </w:pPr>
    <w:rPr>
      <w:rFonts w:cs="Times New Roman"/>
      <w:szCs w:val="20"/>
    </w:rPr>
  </w:style>
  <w:style w:type="table" w:customStyle="1" w:styleId="1b">
    <w:name w:val="Сетка таблицы1"/>
    <w:basedOn w:val="a1"/>
    <w:next w:val="aff1"/>
    <w:uiPriority w:val="59"/>
    <w:rsid w:val="00A95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cs.ru/Doclist/doc/12BT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632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3922B-AF2B-460C-A9E7-BFB812F6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12744</Words>
  <Characters>72645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участнику конкурса:</vt:lpstr>
    </vt:vector>
  </TitlesOfParts>
  <Company>PES</Company>
  <LinksUpToDate>false</LinksUpToDate>
  <CharactersWithSpaces>85219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участнику конкурса:</dc:title>
  <dc:creator>Марыкин Евгений Игоревич</dc:creator>
  <cp:lastModifiedBy>Артемьев Дмитрий Владиславович</cp:lastModifiedBy>
  <cp:revision>6</cp:revision>
  <dcterms:created xsi:type="dcterms:W3CDTF">2023-08-11T06:50:00Z</dcterms:created>
  <dcterms:modified xsi:type="dcterms:W3CDTF">2023-08-11T07:33:00Z</dcterms:modified>
</cp:coreProperties>
</file>