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19" w:type="dxa"/>
        <w:tblLook w:val="0000" w:firstRow="0" w:lastRow="0" w:firstColumn="0" w:lastColumn="0" w:noHBand="0" w:noVBand="0"/>
      </w:tblPr>
      <w:tblGrid>
        <w:gridCol w:w="4219"/>
        <w:gridCol w:w="5400"/>
      </w:tblGrid>
      <w:tr w:rsidR="00682CE8" w:rsidRPr="00682CE8" w:rsidTr="002522AC">
        <w:trPr>
          <w:trHeight w:val="1253"/>
        </w:trPr>
        <w:tc>
          <w:tcPr>
            <w:tcW w:w="4219" w:type="dxa"/>
          </w:tcPr>
          <w:p w:rsidR="00682CE8" w:rsidRPr="00682CE8" w:rsidRDefault="00682CE8" w:rsidP="002522AC">
            <w:pPr>
              <w:pStyle w:val="af3"/>
              <w:spacing w:before="60" w:after="60"/>
              <w:rPr>
                <w:b w:val="0"/>
                <w:bCs w:val="0"/>
                <w:sz w:val="24"/>
                <w:szCs w:val="24"/>
              </w:rPr>
            </w:pPr>
            <w:bookmarkStart w:id="0" w:name="_GoBack"/>
            <w:bookmarkEnd w:id="0"/>
          </w:p>
        </w:tc>
        <w:tc>
          <w:tcPr>
            <w:tcW w:w="5400" w:type="dxa"/>
          </w:tcPr>
          <w:p w:rsidR="00682CE8" w:rsidRPr="00682CE8" w:rsidRDefault="00682CE8" w:rsidP="00682CE8">
            <w:pPr>
              <w:pStyle w:val="a4"/>
              <w:ind w:left="1451"/>
              <w:jc w:val="left"/>
              <w:rPr>
                <w:b w:val="0"/>
                <w:szCs w:val="28"/>
              </w:rPr>
            </w:pPr>
            <w:r w:rsidRPr="00682CE8">
              <w:rPr>
                <w:b w:val="0"/>
                <w:szCs w:val="28"/>
              </w:rPr>
              <w:t>Приложение № 1 к приказу ОАО «Петербургская сбытовая компания»</w:t>
            </w:r>
          </w:p>
          <w:p w:rsidR="00682CE8" w:rsidRPr="00682CE8" w:rsidRDefault="00682CE8" w:rsidP="002522AC">
            <w:pPr>
              <w:pStyle w:val="a4"/>
              <w:ind w:left="1451"/>
              <w:jc w:val="left"/>
              <w:rPr>
                <w:b w:val="0"/>
                <w:szCs w:val="28"/>
              </w:rPr>
            </w:pPr>
          </w:p>
          <w:p w:rsidR="00682CE8" w:rsidRPr="00682CE8" w:rsidRDefault="00682CE8" w:rsidP="002522AC">
            <w:pPr>
              <w:pStyle w:val="a4"/>
              <w:ind w:left="1451"/>
              <w:jc w:val="left"/>
              <w:rPr>
                <w:b w:val="0"/>
                <w:szCs w:val="28"/>
              </w:rPr>
            </w:pPr>
            <w:r w:rsidRPr="00682CE8">
              <w:rPr>
                <w:b w:val="0"/>
                <w:szCs w:val="28"/>
              </w:rPr>
              <w:t xml:space="preserve">от </w:t>
            </w:r>
            <w:r w:rsidR="005D3BE9">
              <w:rPr>
                <w:b w:val="0"/>
                <w:szCs w:val="28"/>
              </w:rPr>
              <w:t xml:space="preserve">28.10.2013 </w:t>
            </w:r>
            <w:r w:rsidRPr="00682CE8">
              <w:rPr>
                <w:b w:val="0"/>
                <w:szCs w:val="28"/>
              </w:rPr>
              <w:t xml:space="preserve"> № </w:t>
            </w:r>
            <w:r w:rsidR="005D3BE9">
              <w:rPr>
                <w:b w:val="0"/>
                <w:szCs w:val="28"/>
              </w:rPr>
              <w:t xml:space="preserve"> 506</w:t>
            </w:r>
          </w:p>
          <w:p w:rsidR="00682CE8" w:rsidRPr="00682CE8" w:rsidRDefault="00682CE8" w:rsidP="002522AC">
            <w:pPr>
              <w:pStyle w:val="a4"/>
              <w:ind w:left="436"/>
              <w:jc w:val="left"/>
              <w:rPr>
                <w:b w:val="0"/>
                <w:szCs w:val="28"/>
              </w:rPr>
            </w:pPr>
          </w:p>
          <w:p w:rsidR="00682CE8" w:rsidRPr="00682CE8" w:rsidRDefault="00682CE8" w:rsidP="002522AC">
            <w:pPr>
              <w:pStyle w:val="a4"/>
              <w:ind w:left="436"/>
              <w:jc w:val="left"/>
              <w:rPr>
                <w:b w:val="0"/>
                <w:szCs w:val="28"/>
              </w:rPr>
            </w:pPr>
          </w:p>
          <w:p w:rsidR="00682CE8" w:rsidRPr="00682CE8" w:rsidRDefault="00682CE8" w:rsidP="002522AC">
            <w:pPr>
              <w:pStyle w:val="a4"/>
              <w:ind w:left="436"/>
              <w:jc w:val="left"/>
              <w:rPr>
                <w:b w:val="0"/>
                <w:szCs w:val="28"/>
              </w:rPr>
            </w:pPr>
          </w:p>
          <w:p w:rsidR="00682CE8" w:rsidRPr="00682CE8" w:rsidRDefault="00682CE8" w:rsidP="002522AC">
            <w:pPr>
              <w:ind w:left="436"/>
              <w:rPr>
                <w:sz w:val="28"/>
                <w:szCs w:val="28"/>
              </w:rPr>
            </w:pPr>
          </w:p>
          <w:p w:rsidR="00682CE8" w:rsidRPr="00682CE8" w:rsidRDefault="00682CE8" w:rsidP="002522AC">
            <w:pPr>
              <w:pStyle w:val="a4"/>
              <w:spacing w:before="60" w:after="60"/>
              <w:jc w:val="right"/>
              <w:rPr>
                <w:b w:val="0"/>
                <w:sz w:val="24"/>
              </w:rPr>
            </w:pPr>
          </w:p>
        </w:tc>
      </w:tr>
    </w:tbl>
    <w:p w:rsidR="00682CE8" w:rsidRPr="00682CE8" w:rsidRDefault="00682CE8" w:rsidP="00377AD0">
      <w:pPr>
        <w:spacing w:beforeLines="60" w:before="144" w:afterLines="60" w:after="144"/>
        <w:jc w:val="center"/>
        <w:rPr>
          <w:b/>
          <w:bCs/>
        </w:rPr>
      </w:pPr>
    </w:p>
    <w:p w:rsidR="00682CE8" w:rsidRPr="00682CE8" w:rsidRDefault="00682CE8" w:rsidP="00377AD0">
      <w:pPr>
        <w:spacing w:beforeLines="60" w:before="144" w:afterLines="60" w:after="144"/>
        <w:jc w:val="center"/>
        <w:rPr>
          <w:b/>
          <w:bCs/>
        </w:rPr>
      </w:pPr>
    </w:p>
    <w:p w:rsidR="00682CE8" w:rsidRPr="00682CE8" w:rsidRDefault="00682CE8" w:rsidP="00377AD0">
      <w:pPr>
        <w:spacing w:beforeLines="60" w:before="144" w:afterLines="60" w:after="144"/>
        <w:jc w:val="center"/>
        <w:rPr>
          <w:b/>
          <w:bCs/>
        </w:rPr>
      </w:pPr>
    </w:p>
    <w:p w:rsidR="00682CE8" w:rsidRPr="00682CE8" w:rsidRDefault="00682CE8" w:rsidP="00377AD0">
      <w:pPr>
        <w:spacing w:beforeLines="60" w:before="144" w:afterLines="60" w:after="144"/>
        <w:jc w:val="center"/>
        <w:rPr>
          <w:b/>
          <w:bCs/>
        </w:rPr>
      </w:pPr>
    </w:p>
    <w:p w:rsidR="00682CE8" w:rsidRPr="00682CE8" w:rsidRDefault="00682CE8" w:rsidP="00377AD0">
      <w:pPr>
        <w:spacing w:beforeLines="60" w:before="144" w:afterLines="60" w:after="144"/>
        <w:jc w:val="center"/>
        <w:rPr>
          <w:b/>
          <w:bCs/>
        </w:rPr>
      </w:pPr>
    </w:p>
    <w:p w:rsidR="00682CE8" w:rsidRPr="00682CE8" w:rsidRDefault="00682CE8" w:rsidP="00682CE8">
      <w:pPr>
        <w:jc w:val="center"/>
        <w:rPr>
          <w:b/>
          <w:bCs/>
          <w:caps/>
          <w:sz w:val="28"/>
          <w:szCs w:val="28"/>
        </w:rPr>
      </w:pPr>
      <w:r w:rsidRPr="00682CE8">
        <w:rPr>
          <w:b/>
          <w:bCs/>
          <w:caps/>
          <w:sz w:val="28"/>
          <w:szCs w:val="28"/>
        </w:rPr>
        <w:t>Методика проведения экспертизы финансово-экономической устойчивости участников закупочных процедур</w:t>
      </w:r>
    </w:p>
    <w:p w:rsidR="00682CE8" w:rsidRPr="00682CE8" w:rsidRDefault="00682CE8" w:rsidP="00682CE8">
      <w:pPr>
        <w:jc w:val="center"/>
        <w:rPr>
          <w:b/>
          <w:bCs/>
          <w:caps/>
        </w:rPr>
      </w:pPr>
    </w:p>
    <w:p w:rsidR="00682CE8" w:rsidRPr="00682CE8" w:rsidRDefault="00682CE8" w:rsidP="00377AD0">
      <w:pPr>
        <w:spacing w:beforeLines="60" w:before="144" w:afterLines="60" w:after="144"/>
        <w:jc w:val="center"/>
        <w:rPr>
          <w:b/>
          <w:bCs/>
          <w:iCs/>
          <w:sz w:val="28"/>
          <w:szCs w:val="28"/>
        </w:rPr>
      </w:pPr>
      <w:r w:rsidRPr="00682CE8">
        <w:rPr>
          <w:b/>
          <w:bCs/>
          <w:iCs/>
          <w:sz w:val="28"/>
          <w:szCs w:val="28"/>
        </w:rPr>
        <w:t>ОАО «Петербургская сбытовая компания»</w:t>
      </w:r>
    </w:p>
    <w:p w:rsidR="00682CE8" w:rsidRPr="00682CE8" w:rsidRDefault="00682CE8" w:rsidP="00377AD0">
      <w:pPr>
        <w:spacing w:beforeLines="60" w:before="144" w:afterLines="60" w:after="144"/>
        <w:jc w:val="center"/>
        <w:rPr>
          <w:b/>
          <w:bCs/>
          <w:iCs/>
        </w:rPr>
      </w:pPr>
    </w:p>
    <w:p w:rsidR="00682CE8" w:rsidRPr="00682CE8" w:rsidRDefault="00682CE8" w:rsidP="00377AD0">
      <w:pPr>
        <w:spacing w:beforeLines="60" w:before="144" w:afterLines="60" w:after="144"/>
        <w:jc w:val="center"/>
        <w:rPr>
          <w:b/>
          <w:bCs/>
          <w:iCs/>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jc w:val="center"/>
        <w:rPr>
          <w:i/>
        </w:rPr>
      </w:pPr>
    </w:p>
    <w:p w:rsidR="00682CE8" w:rsidRPr="00682CE8" w:rsidRDefault="00682CE8" w:rsidP="00377AD0">
      <w:pPr>
        <w:spacing w:beforeLines="60" w:before="144" w:afterLines="60" w:after="144"/>
        <w:rPr>
          <w:i/>
        </w:rPr>
      </w:pPr>
    </w:p>
    <w:p w:rsidR="00682CE8" w:rsidRPr="00682CE8" w:rsidRDefault="00682CE8" w:rsidP="00377AD0">
      <w:pPr>
        <w:spacing w:beforeLines="60" w:before="144" w:afterLines="60" w:after="144"/>
        <w:rPr>
          <w:i/>
        </w:rPr>
      </w:pPr>
    </w:p>
    <w:p w:rsidR="00682CE8" w:rsidRDefault="00682CE8" w:rsidP="00377AD0">
      <w:pPr>
        <w:pStyle w:val="8"/>
        <w:spacing w:beforeLines="60" w:before="144" w:afterLines="60" w:after="144"/>
      </w:pPr>
    </w:p>
    <w:p w:rsidR="00682CE8" w:rsidRDefault="00682CE8" w:rsidP="00377AD0">
      <w:pPr>
        <w:pStyle w:val="8"/>
        <w:spacing w:beforeLines="60" w:before="144" w:afterLines="60" w:after="144"/>
      </w:pPr>
    </w:p>
    <w:p w:rsidR="00682CE8" w:rsidRDefault="00682CE8" w:rsidP="00377AD0">
      <w:pPr>
        <w:pStyle w:val="8"/>
        <w:spacing w:beforeLines="60" w:before="144" w:afterLines="60" w:after="144"/>
      </w:pPr>
    </w:p>
    <w:p w:rsidR="00682CE8" w:rsidRPr="00682CE8" w:rsidRDefault="00682CE8" w:rsidP="00377AD0">
      <w:pPr>
        <w:pStyle w:val="8"/>
        <w:spacing w:beforeLines="60" w:before="144" w:afterLines="60" w:after="144"/>
      </w:pPr>
      <w:r w:rsidRPr="00682CE8">
        <w:t>ВЛАДЕЛЕЦ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8"/>
        <w:gridCol w:w="3420"/>
      </w:tblGrid>
      <w:tr w:rsidR="00682CE8" w:rsidRPr="00682CE8" w:rsidTr="00682CE8">
        <w:trPr>
          <w:trHeight w:val="651"/>
        </w:trPr>
        <w:tc>
          <w:tcPr>
            <w:tcW w:w="5688" w:type="dxa"/>
            <w:tcBorders>
              <w:top w:val="nil"/>
              <w:left w:val="nil"/>
              <w:bottom w:val="nil"/>
              <w:right w:val="nil"/>
            </w:tcBorders>
          </w:tcPr>
          <w:p w:rsidR="00682CE8" w:rsidRDefault="00682CE8" w:rsidP="000D5B4E">
            <w:r>
              <w:t xml:space="preserve">Начальник </w:t>
            </w:r>
            <w:r w:rsidR="000D5B4E">
              <w:t>планово-экономического</w:t>
            </w:r>
          </w:p>
          <w:p w:rsidR="000D5B4E" w:rsidRPr="000D5B4E" w:rsidRDefault="002A7B5E" w:rsidP="000D5B4E">
            <w:r>
              <w:t>у</w:t>
            </w:r>
            <w:r w:rsidR="000D5B4E">
              <w:t>правления</w:t>
            </w:r>
          </w:p>
        </w:tc>
        <w:tc>
          <w:tcPr>
            <w:tcW w:w="3420" w:type="dxa"/>
            <w:tcBorders>
              <w:top w:val="nil"/>
              <w:left w:val="nil"/>
              <w:bottom w:val="nil"/>
              <w:right w:val="nil"/>
            </w:tcBorders>
          </w:tcPr>
          <w:p w:rsidR="00682CE8" w:rsidRPr="00682CE8" w:rsidRDefault="00682CE8" w:rsidP="002522AC">
            <w:pPr>
              <w:jc w:val="right"/>
            </w:pPr>
          </w:p>
          <w:p w:rsidR="00682CE8" w:rsidRPr="00682CE8" w:rsidRDefault="000D5B4E" w:rsidP="002522AC">
            <w:pPr>
              <w:jc w:val="right"/>
            </w:pPr>
            <w:r>
              <w:t>Дедов А.В</w:t>
            </w:r>
            <w:r w:rsidR="00682CE8">
              <w:t>.</w:t>
            </w:r>
          </w:p>
          <w:p w:rsidR="00682CE8" w:rsidRPr="00F04E30" w:rsidRDefault="00682CE8" w:rsidP="00F04E30">
            <w:pPr>
              <w:rPr>
                <w:i/>
              </w:rPr>
            </w:pPr>
          </w:p>
        </w:tc>
      </w:tr>
    </w:tbl>
    <w:p w:rsidR="00682CE8" w:rsidRPr="00682CE8" w:rsidRDefault="00682CE8" w:rsidP="00682CE8">
      <w:pPr>
        <w:pStyle w:val="a4"/>
        <w:spacing w:before="60" w:after="60"/>
        <w:rPr>
          <w:bCs w:val="0"/>
          <w:sz w:val="24"/>
        </w:rPr>
        <w:sectPr w:rsidR="00682CE8" w:rsidRPr="00682CE8" w:rsidSect="00340721">
          <w:pgSz w:w="11906" w:h="16838"/>
          <w:pgMar w:top="1134" w:right="851" w:bottom="1134" w:left="1701" w:header="708" w:footer="708" w:gutter="0"/>
          <w:pgNumType w:start="1"/>
          <w:cols w:space="708"/>
          <w:docGrid w:linePitch="360"/>
        </w:sectPr>
      </w:pPr>
    </w:p>
    <w:p w:rsidR="00682CE8" w:rsidRPr="00682CE8" w:rsidRDefault="00682CE8" w:rsidP="00682CE8">
      <w:pPr>
        <w:pStyle w:val="a4"/>
        <w:spacing w:before="60" w:after="60"/>
        <w:rPr>
          <w:bCs w:val="0"/>
          <w:sz w:val="24"/>
        </w:rPr>
      </w:pPr>
      <w:r w:rsidRPr="00682CE8">
        <w:rPr>
          <w:bCs w:val="0"/>
          <w:sz w:val="24"/>
        </w:rPr>
        <w:lastRenderedPageBreak/>
        <w:t>Содержание</w:t>
      </w:r>
      <w:r w:rsidRPr="00682CE8">
        <w:rPr>
          <w:bCs w:val="0"/>
          <w:sz w:val="24"/>
        </w:rPr>
        <w:br/>
      </w:r>
    </w:p>
    <w:bookmarkStart w:id="1" w:name="_Toc314226151"/>
    <w:bookmarkStart w:id="2" w:name="_Toc322961170"/>
    <w:bookmarkStart w:id="3" w:name="_Toc326066005"/>
    <w:bookmarkStart w:id="4" w:name="_Toc326066275"/>
    <w:p w:rsidR="00682CE8" w:rsidRPr="00682CE8" w:rsidRDefault="00791B23" w:rsidP="00682CE8">
      <w:pPr>
        <w:pStyle w:val="11"/>
        <w:tabs>
          <w:tab w:val="left" w:pos="480"/>
          <w:tab w:val="right" w:leader="dot" w:pos="9344"/>
        </w:tabs>
        <w:rPr>
          <w:rFonts w:ascii="Times New Roman" w:hAnsi="Times New Roman"/>
          <w:bCs w:val="0"/>
          <w:iCs w:val="0"/>
          <w:noProof/>
          <w:sz w:val="22"/>
          <w:szCs w:val="22"/>
        </w:rPr>
      </w:pPr>
      <w:r w:rsidRPr="00682CE8">
        <w:rPr>
          <w:rFonts w:ascii="Times New Roman" w:hAnsi="Times New Roman"/>
        </w:rPr>
        <w:fldChar w:fldCharType="begin"/>
      </w:r>
      <w:r w:rsidR="00682CE8" w:rsidRPr="00682CE8">
        <w:rPr>
          <w:rFonts w:ascii="Times New Roman" w:hAnsi="Times New Roman"/>
        </w:rPr>
        <w:instrText xml:space="preserve"> TOC \o "1-3" \h \z \u </w:instrText>
      </w:r>
      <w:r w:rsidRPr="00682CE8">
        <w:rPr>
          <w:rFonts w:ascii="Times New Roman" w:hAnsi="Times New Roman"/>
        </w:rPr>
        <w:fldChar w:fldCharType="separate"/>
      </w:r>
      <w:hyperlink w:anchor="_Toc326077646" w:history="1">
        <w:r w:rsidR="00682CE8" w:rsidRPr="00682CE8">
          <w:rPr>
            <w:rStyle w:val="aa"/>
            <w:rFonts w:ascii="Times New Roman" w:hAnsi="Times New Roman"/>
            <w:noProof/>
          </w:rPr>
          <w:t>1.</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Термины и определения</w:t>
        </w:r>
        <w:r w:rsidR="00682CE8" w:rsidRPr="00682CE8">
          <w:rPr>
            <w:rFonts w:ascii="Times New Roman" w:hAnsi="Times New Roman"/>
            <w:noProof/>
            <w:webHidden/>
          </w:rPr>
          <w:tab/>
        </w:r>
        <w:r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_Toc326077646 \h </w:instrText>
        </w:r>
        <w:r w:rsidRPr="00682CE8">
          <w:rPr>
            <w:rFonts w:ascii="Times New Roman" w:hAnsi="Times New Roman"/>
            <w:noProof/>
            <w:webHidden/>
          </w:rPr>
        </w:r>
        <w:r w:rsidRPr="00682CE8">
          <w:rPr>
            <w:rFonts w:ascii="Times New Roman" w:hAnsi="Times New Roman"/>
            <w:noProof/>
            <w:webHidden/>
          </w:rPr>
          <w:fldChar w:fldCharType="separate"/>
        </w:r>
        <w:r w:rsidR="00B9090C">
          <w:rPr>
            <w:rFonts w:ascii="Times New Roman" w:hAnsi="Times New Roman"/>
            <w:noProof/>
            <w:webHidden/>
          </w:rPr>
          <w:t>2</w:t>
        </w:r>
        <w:r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47" w:history="1">
        <w:r w:rsidR="00682CE8" w:rsidRPr="00682CE8">
          <w:rPr>
            <w:rStyle w:val="aa"/>
            <w:rFonts w:ascii="Times New Roman" w:hAnsi="Times New Roman"/>
            <w:noProof/>
          </w:rPr>
          <w:t>2.</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Назначение и область применения</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_Toc326077647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2</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48" w:history="1">
        <w:r w:rsidR="00682CE8" w:rsidRPr="00682CE8">
          <w:rPr>
            <w:rStyle w:val="aa"/>
            <w:rFonts w:ascii="Times New Roman" w:hAnsi="Times New Roman"/>
            <w:noProof/>
          </w:rPr>
          <w:t>3.</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Нормативные ссылки</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_Toc326077648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3</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49" w:history="1">
        <w:r w:rsidR="00682CE8" w:rsidRPr="00682CE8">
          <w:rPr>
            <w:rStyle w:val="aa"/>
            <w:rFonts w:ascii="Times New Roman" w:hAnsi="Times New Roman"/>
            <w:noProof/>
          </w:rPr>
          <w:t>4.</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Общие положения</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_Toc326077649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3</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50" w:history="1">
        <w:r w:rsidR="00682CE8" w:rsidRPr="00682CE8">
          <w:rPr>
            <w:rStyle w:val="aa"/>
            <w:rFonts w:ascii="Times New Roman" w:hAnsi="Times New Roman"/>
            <w:noProof/>
          </w:rPr>
          <w:t>5.</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Информация, используемая для оценки</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_Toc326077650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4</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51" w:history="1">
        <w:r w:rsidR="00682CE8" w:rsidRPr="00682CE8">
          <w:rPr>
            <w:rStyle w:val="aa"/>
            <w:rFonts w:ascii="Times New Roman" w:hAnsi="Times New Roman"/>
            <w:noProof/>
          </w:rPr>
          <w:t>6.</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Группа финансовых показателей</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_Toc326077651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4</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52" w:history="1">
        <w:r w:rsidR="00682CE8" w:rsidRPr="00682CE8">
          <w:rPr>
            <w:rStyle w:val="aa"/>
            <w:rFonts w:ascii="Times New Roman" w:hAnsi="Times New Roman"/>
            <w:noProof/>
          </w:rPr>
          <w:t>7.</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Группа показателей бизнес-риска</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_Toc326077652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7</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53" w:history="1">
        <w:r w:rsidR="00682CE8" w:rsidRPr="00682CE8">
          <w:rPr>
            <w:rStyle w:val="aa"/>
            <w:rFonts w:ascii="Times New Roman" w:hAnsi="Times New Roman"/>
            <w:noProof/>
          </w:rPr>
          <w:t>8.</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Весовые коэффициенты и формирование первичной оценки</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_Toc326077653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9</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480"/>
          <w:tab w:val="right" w:leader="dot" w:pos="9344"/>
        </w:tabs>
        <w:rPr>
          <w:rFonts w:ascii="Times New Roman" w:hAnsi="Times New Roman"/>
          <w:bCs w:val="0"/>
          <w:iCs w:val="0"/>
          <w:noProof/>
          <w:sz w:val="22"/>
          <w:szCs w:val="22"/>
        </w:rPr>
      </w:pPr>
      <w:hyperlink w:anchor="_Toc326077654" w:history="1">
        <w:r w:rsidR="00682CE8" w:rsidRPr="00682CE8">
          <w:rPr>
            <w:rStyle w:val="aa"/>
            <w:rFonts w:ascii="Times New Roman" w:hAnsi="Times New Roman"/>
            <w:noProof/>
          </w:rPr>
          <w:t>9.</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Отборочная стадия</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_Toc326077654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10</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720"/>
          <w:tab w:val="right" w:leader="dot" w:pos="9344"/>
        </w:tabs>
        <w:rPr>
          <w:rFonts w:ascii="Times New Roman" w:hAnsi="Times New Roman"/>
          <w:bCs w:val="0"/>
          <w:iCs w:val="0"/>
          <w:noProof/>
          <w:sz w:val="22"/>
          <w:szCs w:val="22"/>
        </w:rPr>
      </w:pPr>
      <w:hyperlink w:anchor="_Toc326077655" w:history="1">
        <w:r w:rsidR="00682CE8" w:rsidRPr="00682CE8">
          <w:rPr>
            <w:rStyle w:val="aa"/>
            <w:rFonts w:ascii="Times New Roman" w:hAnsi="Times New Roman"/>
            <w:noProof/>
          </w:rPr>
          <w:t>10.</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Оценочная стадия</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_Toc326077655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12</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720"/>
          <w:tab w:val="right" w:leader="dot" w:pos="9344"/>
        </w:tabs>
        <w:rPr>
          <w:rFonts w:ascii="Times New Roman" w:hAnsi="Times New Roman"/>
          <w:bCs w:val="0"/>
          <w:iCs w:val="0"/>
          <w:noProof/>
          <w:sz w:val="22"/>
          <w:szCs w:val="22"/>
        </w:rPr>
      </w:pPr>
      <w:hyperlink w:anchor="_Toc326077656" w:history="1">
        <w:r w:rsidR="00682CE8" w:rsidRPr="00682CE8">
          <w:rPr>
            <w:rStyle w:val="aa"/>
            <w:rFonts w:ascii="Times New Roman" w:hAnsi="Times New Roman"/>
            <w:noProof/>
          </w:rPr>
          <w:t>11.</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Лист регистрации изменений</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_Toc326077656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13</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720"/>
          <w:tab w:val="right" w:leader="dot" w:pos="9344"/>
        </w:tabs>
        <w:rPr>
          <w:rFonts w:ascii="Times New Roman" w:hAnsi="Times New Roman"/>
          <w:bCs w:val="0"/>
          <w:iCs w:val="0"/>
          <w:noProof/>
          <w:sz w:val="22"/>
          <w:szCs w:val="22"/>
        </w:rPr>
      </w:pPr>
      <w:hyperlink w:anchor="_Toc326077657" w:history="1">
        <w:r w:rsidR="00682CE8" w:rsidRPr="00682CE8">
          <w:rPr>
            <w:rStyle w:val="aa"/>
            <w:rFonts w:ascii="Times New Roman" w:hAnsi="Times New Roman"/>
            <w:noProof/>
          </w:rPr>
          <w:t>12.</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Контроль актуализации</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_Toc326077657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13</w:t>
        </w:r>
        <w:r w:rsidR="00791B23" w:rsidRPr="00682CE8">
          <w:rPr>
            <w:rFonts w:ascii="Times New Roman" w:hAnsi="Times New Roman"/>
            <w:noProof/>
            <w:webHidden/>
          </w:rPr>
          <w:fldChar w:fldCharType="end"/>
        </w:r>
      </w:hyperlink>
    </w:p>
    <w:p w:rsidR="00682CE8" w:rsidRPr="00682CE8" w:rsidRDefault="00377AD0" w:rsidP="00682CE8">
      <w:pPr>
        <w:pStyle w:val="11"/>
        <w:tabs>
          <w:tab w:val="left" w:pos="720"/>
          <w:tab w:val="right" w:leader="dot" w:pos="9344"/>
        </w:tabs>
        <w:rPr>
          <w:rFonts w:ascii="Times New Roman" w:hAnsi="Times New Roman"/>
          <w:bCs w:val="0"/>
          <w:iCs w:val="0"/>
          <w:noProof/>
          <w:sz w:val="22"/>
          <w:szCs w:val="22"/>
        </w:rPr>
      </w:pPr>
      <w:hyperlink w:anchor="_Toc326077658" w:history="1">
        <w:r w:rsidR="00682CE8" w:rsidRPr="00682CE8">
          <w:rPr>
            <w:rStyle w:val="aa"/>
            <w:rFonts w:ascii="Times New Roman" w:hAnsi="Times New Roman"/>
            <w:noProof/>
          </w:rPr>
          <w:t>13.</w:t>
        </w:r>
        <w:r w:rsidR="00682CE8" w:rsidRPr="00682CE8">
          <w:rPr>
            <w:rFonts w:ascii="Times New Roman" w:hAnsi="Times New Roman"/>
            <w:bCs w:val="0"/>
            <w:iCs w:val="0"/>
            <w:noProof/>
            <w:sz w:val="22"/>
            <w:szCs w:val="22"/>
          </w:rPr>
          <w:tab/>
        </w:r>
        <w:r w:rsidR="00682CE8" w:rsidRPr="00682CE8">
          <w:rPr>
            <w:rStyle w:val="aa"/>
            <w:rFonts w:ascii="Times New Roman" w:hAnsi="Times New Roman"/>
            <w:noProof/>
          </w:rPr>
          <w:t>Права доступа к документу</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_Toc326077658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13</w:t>
        </w:r>
        <w:r w:rsidR="00791B23" w:rsidRPr="00682CE8">
          <w:rPr>
            <w:rFonts w:ascii="Times New Roman" w:hAnsi="Times New Roman"/>
            <w:noProof/>
            <w:webHidden/>
          </w:rPr>
          <w:fldChar w:fldCharType="end"/>
        </w:r>
      </w:hyperlink>
    </w:p>
    <w:p w:rsidR="00682CE8" w:rsidRPr="00682CE8" w:rsidRDefault="00377AD0" w:rsidP="00682CE8">
      <w:pPr>
        <w:pStyle w:val="11"/>
        <w:tabs>
          <w:tab w:val="right" w:leader="dot" w:pos="9344"/>
        </w:tabs>
        <w:rPr>
          <w:rFonts w:ascii="Times New Roman" w:hAnsi="Times New Roman"/>
          <w:bCs w:val="0"/>
          <w:iCs w:val="0"/>
          <w:noProof/>
          <w:sz w:val="22"/>
          <w:szCs w:val="22"/>
        </w:rPr>
      </w:pPr>
      <w:hyperlink w:anchor="_Toc326077659" w:history="1">
        <w:r w:rsidR="00682CE8" w:rsidRPr="00682CE8">
          <w:rPr>
            <w:rStyle w:val="aa"/>
            <w:rFonts w:ascii="Times New Roman" w:hAnsi="Times New Roman"/>
            <w:noProof/>
          </w:rPr>
          <w:t>Приложение 1 Разграничение функциональных обязанностей по проведению финансово-экономической экспертизы</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_Toc326077659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14</w:t>
        </w:r>
        <w:r w:rsidR="00791B23" w:rsidRPr="00682CE8">
          <w:rPr>
            <w:rFonts w:ascii="Times New Roman" w:hAnsi="Times New Roman"/>
            <w:noProof/>
            <w:webHidden/>
          </w:rPr>
          <w:fldChar w:fldCharType="end"/>
        </w:r>
      </w:hyperlink>
    </w:p>
    <w:p w:rsidR="00682CE8" w:rsidRPr="00682CE8" w:rsidRDefault="00377AD0" w:rsidP="00682CE8">
      <w:pPr>
        <w:pStyle w:val="11"/>
        <w:tabs>
          <w:tab w:val="right" w:leader="dot" w:pos="9344"/>
        </w:tabs>
        <w:rPr>
          <w:rFonts w:ascii="Times New Roman" w:hAnsi="Times New Roman"/>
          <w:bCs w:val="0"/>
          <w:iCs w:val="0"/>
          <w:noProof/>
          <w:sz w:val="22"/>
          <w:szCs w:val="22"/>
        </w:rPr>
      </w:pPr>
      <w:hyperlink w:anchor="_Toc326077660" w:history="1">
        <w:r w:rsidR="00682CE8" w:rsidRPr="00682CE8">
          <w:rPr>
            <w:rStyle w:val="aa"/>
            <w:rFonts w:ascii="Times New Roman" w:hAnsi="Times New Roman"/>
            <w:noProof/>
          </w:rPr>
          <w:t>Приложение 2 Алгоритм действия Эксперта при подготовке заключения по направлению финансово-экономической экспертизы</w:t>
        </w:r>
        <w:r w:rsidR="00682CE8" w:rsidRPr="00682CE8">
          <w:rPr>
            <w:rStyle w:val="aa"/>
            <w:rFonts w:ascii="Times New Roman" w:hAnsi="Times New Roman"/>
            <w:noProof/>
            <w:lang w:val="en-US"/>
          </w:rPr>
          <w:t xml:space="preserve"> с использованием шаблона «Финэкспертиза.xls»</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_Toc326077660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16</w:t>
        </w:r>
        <w:r w:rsidR="00791B23" w:rsidRPr="00682CE8">
          <w:rPr>
            <w:rFonts w:ascii="Times New Roman" w:hAnsi="Times New Roman"/>
            <w:noProof/>
            <w:webHidden/>
          </w:rPr>
          <w:fldChar w:fldCharType="end"/>
        </w:r>
      </w:hyperlink>
    </w:p>
    <w:p w:rsidR="00682CE8" w:rsidRPr="00682CE8" w:rsidRDefault="00377AD0" w:rsidP="00682CE8">
      <w:pPr>
        <w:pStyle w:val="11"/>
        <w:tabs>
          <w:tab w:val="right" w:leader="dot" w:pos="9344"/>
        </w:tabs>
        <w:rPr>
          <w:rFonts w:ascii="Times New Roman" w:hAnsi="Times New Roman"/>
          <w:bCs w:val="0"/>
          <w:iCs w:val="0"/>
          <w:noProof/>
          <w:sz w:val="22"/>
          <w:szCs w:val="22"/>
        </w:rPr>
      </w:pPr>
      <w:hyperlink w:anchor="_Toc326077661" w:history="1">
        <w:r w:rsidR="00682CE8" w:rsidRPr="00682CE8">
          <w:rPr>
            <w:rStyle w:val="aa"/>
            <w:rFonts w:ascii="Times New Roman" w:hAnsi="Times New Roman"/>
            <w:noProof/>
          </w:rPr>
          <w:t>Приложение 3 Формат заключения</w:t>
        </w:r>
        <w:r w:rsidR="00682CE8" w:rsidRPr="00682CE8">
          <w:rPr>
            <w:rFonts w:ascii="Times New Roman" w:hAnsi="Times New Roman"/>
            <w:noProof/>
            <w:webHidden/>
          </w:rPr>
          <w:tab/>
        </w:r>
        <w:r w:rsidR="00791B23" w:rsidRPr="00682CE8">
          <w:rPr>
            <w:rFonts w:ascii="Times New Roman" w:hAnsi="Times New Roman"/>
            <w:noProof/>
            <w:webHidden/>
          </w:rPr>
          <w:fldChar w:fldCharType="begin"/>
        </w:r>
        <w:r w:rsidR="00682CE8" w:rsidRPr="00682CE8">
          <w:rPr>
            <w:rFonts w:ascii="Times New Roman" w:hAnsi="Times New Roman"/>
            <w:noProof/>
            <w:webHidden/>
          </w:rPr>
          <w:instrText xml:space="preserve"> PAGEREF _Toc326077661 \h </w:instrText>
        </w:r>
        <w:r w:rsidR="00791B23" w:rsidRPr="00682CE8">
          <w:rPr>
            <w:rFonts w:ascii="Times New Roman" w:hAnsi="Times New Roman"/>
            <w:noProof/>
            <w:webHidden/>
          </w:rPr>
        </w:r>
        <w:r w:rsidR="00791B23" w:rsidRPr="00682CE8">
          <w:rPr>
            <w:rFonts w:ascii="Times New Roman" w:hAnsi="Times New Roman"/>
            <w:noProof/>
            <w:webHidden/>
          </w:rPr>
          <w:fldChar w:fldCharType="separate"/>
        </w:r>
        <w:r w:rsidR="00B9090C">
          <w:rPr>
            <w:rFonts w:ascii="Times New Roman" w:hAnsi="Times New Roman"/>
            <w:noProof/>
            <w:webHidden/>
          </w:rPr>
          <w:t>24</w:t>
        </w:r>
        <w:r w:rsidR="00791B23" w:rsidRPr="00682CE8">
          <w:rPr>
            <w:rFonts w:ascii="Times New Roman" w:hAnsi="Times New Roman"/>
            <w:noProof/>
            <w:webHidden/>
          </w:rPr>
          <w:fldChar w:fldCharType="end"/>
        </w:r>
      </w:hyperlink>
    </w:p>
    <w:p w:rsidR="00682CE8" w:rsidRPr="00682CE8" w:rsidRDefault="00791B23" w:rsidP="00682CE8">
      <w:pPr>
        <w:pStyle w:val="11"/>
        <w:tabs>
          <w:tab w:val="left" w:pos="480"/>
          <w:tab w:val="right" w:leader="dot" w:pos="9344"/>
        </w:tabs>
        <w:rPr>
          <w:rFonts w:ascii="Times New Roman" w:hAnsi="Times New Roman"/>
        </w:rPr>
      </w:pPr>
      <w:r w:rsidRPr="00682CE8">
        <w:rPr>
          <w:rFonts w:ascii="Times New Roman" w:hAnsi="Times New Roman"/>
        </w:rPr>
        <w:fldChar w:fldCharType="end"/>
      </w:r>
    </w:p>
    <w:p w:rsidR="00682CE8" w:rsidRPr="00682CE8" w:rsidRDefault="00682CE8" w:rsidP="00682CE8">
      <w:pPr>
        <w:pStyle w:val="11"/>
        <w:tabs>
          <w:tab w:val="left" w:pos="480"/>
          <w:tab w:val="right" w:leader="dot" w:pos="9344"/>
        </w:tabs>
        <w:rPr>
          <w:rFonts w:ascii="Times New Roman" w:hAnsi="Times New Roman"/>
        </w:rPr>
      </w:pPr>
      <w:r w:rsidRPr="00682CE8">
        <w:rPr>
          <w:rFonts w:ascii="Times New Roman" w:hAnsi="Times New Roman"/>
        </w:rPr>
        <w:br w:type="page"/>
      </w:r>
    </w:p>
    <w:p w:rsidR="00682CE8" w:rsidRPr="00682CE8" w:rsidRDefault="00682CE8" w:rsidP="00682CE8">
      <w:pPr>
        <w:pStyle w:val="1"/>
        <w:numPr>
          <w:ilvl w:val="0"/>
          <w:numId w:val="5"/>
        </w:numPr>
        <w:tabs>
          <w:tab w:val="left" w:pos="540"/>
        </w:tabs>
        <w:rPr>
          <w:rFonts w:ascii="Times New Roman" w:hAnsi="Times New Roman" w:cs="Times New Roman"/>
          <w:sz w:val="24"/>
          <w:szCs w:val="24"/>
        </w:rPr>
      </w:pPr>
      <w:bookmarkStart w:id="5" w:name="_Toc326067311"/>
      <w:bookmarkStart w:id="6" w:name="_Toc326077646"/>
      <w:r w:rsidRPr="00682CE8">
        <w:rPr>
          <w:rFonts w:ascii="Times New Roman" w:hAnsi="Times New Roman" w:cs="Times New Roman"/>
          <w:sz w:val="24"/>
          <w:szCs w:val="24"/>
        </w:rPr>
        <w:lastRenderedPageBreak/>
        <w:t>Термины и определения</w:t>
      </w:r>
      <w:bookmarkEnd w:id="1"/>
      <w:bookmarkEnd w:id="2"/>
      <w:bookmarkEnd w:id="3"/>
      <w:bookmarkEnd w:id="4"/>
      <w:bookmarkEnd w:id="5"/>
      <w:bookmarkEnd w:id="6"/>
    </w:p>
    <w:p w:rsidR="00682CE8" w:rsidRPr="00682CE8" w:rsidRDefault="00682CE8" w:rsidP="00682CE8"/>
    <w:tbl>
      <w:tblPr>
        <w:tblW w:w="9508" w:type="dxa"/>
        <w:tblInd w:w="98" w:type="dxa"/>
        <w:tblLook w:val="04A0" w:firstRow="1" w:lastRow="0" w:firstColumn="1" w:lastColumn="0" w:noHBand="0" w:noVBand="1"/>
      </w:tblPr>
      <w:tblGrid>
        <w:gridCol w:w="3520"/>
        <w:gridCol w:w="5988"/>
      </w:tblGrid>
      <w:tr w:rsidR="00682CE8" w:rsidRPr="00682CE8" w:rsidTr="002522AC">
        <w:trPr>
          <w:cantSplit/>
          <w:trHeight w:val="497"/>
        </w:trPr>
        <w:tc>
          <w:tcPr>
            <w:tcW w:w="3520" w:type="dxa"/>
            <w:tcBorders>
              <w:top w:val="single" w:sz="8" w:space="0" w:color="auto"/>
              <w:left w:val="single" w:sz="8" w:space="0" w:color="auto"/>
              <w:bottom w:val="single" w:sz="8" w:space="0" w:color="auto"/>
              <w:right w:val="single" w:sz="8" w:space="0" w:color="auto"/>
            </w:tcBorders>
            <w:shd w:val="clear" w:color="000000" w:fill="CCCCCC"/>
            <w:vAlign w:val="center"/>
          </w:tcPr>
          <w:p w:rsidR="00682CE8" w:rsidRPr="00682CE8" w:rsidRDefault="00682CE8" w:rsidP="002522AC">
            <w:pPr>
              <w:jc w:val="center"/>
              <w:rPr>
                <w:b/>
                <w:bCs/>
                <w:color w:val="000000"/>
                <w:sz w:val="20"/>
                <w:szCs w:val="20"/>
              </w:rPr>
            </w:pPr>
            <w:r w:rsidRPr="00682CE8">
              <w:rPr>
                <w:b/>
                <w:bCs/>
                <w:color w:val="000000"/>
                <w:sz w:val="20"/>
                <w:szCs w:val="20"/>
              </w:rPr>
              <w:t>Термин/Сокращение</w:t>
            </w:r>
          </w:p>
        </w:tc>
        <w:tc>
          <w:tcPr>
            <w:tcW w:w="5988" w:type="dxa"/>
            <w:tcBorders>
              <w:top w:val="single" w:sz="8" w:space="0" w:color="auto"/>
              <w:left w:val="nil"/>
              <w:bottom w:val="single" w:sz="8" w:space="0" w:color="auto"/>
              <w:right w:val="single" w:sz="8" w:space="0" w:color="auto"/>
            </w:tcBorders>
            <w:shd w:val="clear" w:color="000000" w:fill="CCCCCC"/>
            <w:vAlign w:val="center"/>
          </w:tcPr>
          <w:p w:rsidR="00682CE8" w:rsidRPr="00682CE8" w:rsidRDefault="00682CE8" w:rsidP="002522AC">
            <w:pPr>
              <w:jc w:val="center"/>
              <w:rPr>
                <w:b/>
                <w:bCs/>
                <w:color w:val="000000"/>
                <w:sz w:val="20"/>
                <w:szCs w:val="20"/>
              </w:rPr>
            </w:pPr>
            <w:r w:rsidRPr="00682CE8">
              <w:rPr>
                <w:b/>
                <w:bCs/>
                <w:color w:val="000000"/>
                <w:sz w:val="20"/>
                <w:szCs w:val="20"/>
              </w:rPr>
              <w:t xml:space="preserve">Определение </w:t>
            </w:r>
          </w:p>
        </w:tc>
      </w:tr>
      <w:tr w:rsidR="00682CE8" w:rsidRPr="00682CE8" w:rsidTr="002522AC">
        <w:trPr>
          <w:cantSplit/>
          <w:trHeight w:val="78"/>
        </w:trPr>
        <w:tc>
          <w:tcPr>
            <w:tcW w:w="3520" w:type="dxa"/>
            <w:tcBorders>
              <w:top w:val="nil"/>
              <w:left w:val="single" w:sz="8" w:space="0" w:color="auto"/>
              <w:bottom w:val="single" w:sz="8" w:space="0" w:color="auto"/>
              <w:right w:val="single" w:sz="8" w:space="0" w:color="auto"/>
            </w:tcBorders>
            <w:shd w:val="clear" w:color="auto" w:fill="auto"/>
            <w:vAlign w:val="center"/>
          </w:tcPr>
          <w:p w:rsidR="00682CE8" w:rsidRPr="00682CE8" w:rsidRDefault="00682CE8" w:rsidP="002522AC">
            <w:pPr>
              <w:jc w:val="both"/>
              <w:rPr>
                <w:color w:val="000000"/>
              </w:rPr>
            </w:pPr>
            <w:r w:rsidRPr="00682CE8">
              <w:rPr>
                <w:color w:val="000000"/>
              </w:rPr>
              <w:t>Финансово-экономическая экспертиза</w:t>
            </w:r>
          </w:p>
        </w:tc>
        <w:tc>
          <w:tcPr>
            <w:tcW w:w="5988" w:type="dxa"/>
            <w:tcBorders>
              <w:top w:val="nil"/>
              <w:left w:val="nil"/>
              <w:bottom w:val="single" w:sz="8" w:space="0" w:color="auto"/>
              <w:right w:val="single" w:sz="8" w:space="0" w:color="auto"/>
            </w:tcBorders>
            <w:shd w:val="clear" w:color="auto" w:fill="auto"/>
            <w:vAlign w:val="center"/>
          </w:tcPr>
          <w:p w:rsidR="00682CE8" w:rsidRPr="00682CE8" w:rsidRDefault="00682CE8" w:rsidP="002522AC">
            <w:pPr>
              <w:jc w:val="both"/>
              <w:rPr>
                <w:color w:val="000000"/>
              </w:rPr>
            </w:pPr>
            <w:r w:rsidRPr="00682CE8">
              <w:rPr>
                <w:color w:val="000000"/>
              </w:rPr>
              <w:t>Оценка устойчивости участников закупочных процедур с позиции финансово-экономических критериев, проводимая для определения соответствия и ранжирования предложений участников закупочных процедур в рамках деятельности экспертной группы и/или закупочной комиссии Общества / ДЗО / ВЗО</w:t>
            </w:r>
          </w:p>
        </w:tc>
      </w:tr>
    </w:tbl>
    <w:p w:rsidR="00682CE8" w:rsidRPr="00682CE8" w:rsidRDefault="00682CE8" w:rsidP="00682CE8"/>
    <w:p w:rsidR="00682CE8" w:rsidRPr="00682CE8" w:rsidRDefault="00682CE8" w:rsidP="00682CE8">
      <w:pPr>
        <w:pStyle w:val="1"/>
        <w:numPr>
          <w:ilvl w:val="0"/>
          <w:numId w:val="5"/>
        </w:numPr>
        <w:tabs>
          <w:tab w:val="left" w:pos="540"/>
        </w:tabs>
        <w:rPr>
          <w:rFonts w:ascii="Times New Roman" w:hAnsi="Times New Roman" w:cs="Times New Roman"/>
          <w:sz w:val="24"/>
          <w:szCs w:val="24"/>
        </w:rPr>
      </w:pPr>
      <w:bookmarkStart w:id="7" w:name="_Toc314226152"/>
      <w:bookmarkStart w:id="8" w:name="_Toc322961171"/>
      <w:bookmarkStart w:id="9" w:name="_Toc326066006"/>
      <w:bookmarkStart w:id="10" w:name="_Toc326066276"/>
      <w:bookmarkStart w:id="11" w:name="_Toc326067312"/>
      <w:bookmarkStart w:id="12" w:name="_Toc326077647"/>
      <w:r w:rsidRPr="00682CE8">
        <w:rPr>
          <w:rFonts w:ascii="Times New Roman" w:hAnsi="Times New Roman" w:cs="Times New Roman"/>
          <w:sz w:val="24"/>
          <w:szCs w:val="24"/>
        </w:rPr>
        <w:t>Назначение и область применения</w:t>
      </w:r>
      <w:bookmarkEnd w:id="7"/>
      <w:bookmarkEnd w:id="8"/>
      <w:bookmarkEnd w:id="9"/>
      <w:bookmarkEnd w:id="10"/>
      <w:bookmarkEnd w:id="11"/>
      <w:bookmarkEnd w:id="12"/>
    </w:p>
    <w:p w:rsidR="00682CE8" w:rsidRPr="00682CE8" w:rsidRDefault="00682CE8" w:rsidP="00682CE8">
      <w:pPr>
        <w:numPr>
          <w:ilvl w:val="1"/>
          <w:numId w:val="5"/>
        </w:numPr>
        <w:ind w:left="360"/>
        <w:jc w:val="both"/>
      </w:pPr>
      <w:bookmarkStart w:id="13" w:name="_Toc145470728"/>
      <w:bookmarkStart w:id="14" w:name="_Toc145758338"/>
      <w:bookmarkStart w:id="15" w:name="_Toc145758464"/>
      <w:bookmarkStart w:id="16" w:name="_Toc145758988"/>
      <w:bookmarkStart w:id="17" w:name="_Toc145759251"/>
      <w:bookmarkStart w:id="18" w:name="_Toc145760285"/>
      <w:bookmarkStart w:id="19" w:name="_Toc162934410"/>
      <w:r w:rsidRPr="00682CE8">
        <w:t>Назначение</w:t>
      </w:r>
      <w:bookmarkEnd w:id="13"/>
      <w:bookmarkEnd w:id="14"/>
      <w:bookmarkEnd w:id="15"/>
      <w:bookmarkEnd w:id="16"/>
      <w:bookmarkEnd w:id="17"/>
      <w:bookmarkEnd w:id="18"/>
      <w:bookmarkEnd w:id="19"/>
    </w:p>
    <w:p w:rsidR="00682CE8" w:rsidRPr="00682CE8" w:rsidRDefault="00682CE8" w:rsidP="00682CE8">
      <w:pPr>
        <w:numPr>
          <w:ilvl w:val="0"/>
          <w:numId w:val="4"/>
        </w:numPr>
        <w:jc w:val="both"/>
      </w:pPr>
      <w:bookmarkStart w:id="20" w:name="_Toc322961172"/>
      <w:bookmarkStart w:id="21" w:name="_Toc326066007"/>
      <w:bookmarkStart w:id="22" w:name="_Toc326066277"/>
      <w:r w:rsidRPr="00682CE8">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экспертиза) проводится Обществом / ДЗО / ВЗО в рамках закупочной деятельности во избежание потерь и с целью ограничения подверженности Общества / ДЗО / ВЗО кредитному риску, в том числе для выявления и отклонения таких участников конкурентных закупочных процедур, которые заведомо неспособны исполнить свои обязательства.</w:t>
      </w:r>
      <w:bookmarkEnd w:id="20"/>
      <w:bookmarkEnd w:id="21"/>
      <w:bookmarkEnd w:id="22"/>
    </w:p>
    <w:p w:rsidR="00682CE8" w:rsidRPr="00682CE8" w:rsidRDefault="00682CE8" w:rsidP="00682CE8">
      <w:pPr>
        <w:numPr>
          <w:ilvl w:val="0"/>
          <w:numId w:val="4"/>
        </w:numPr>
        <w:jc w:val="both"/>
      </w:pPr>
      <w:bookmarkStart w:id="23" w:name="_Toc322961173"/>
      <w:bookmarkStart w:id="24" w:name="_Toc326066008"/>
      <w:bookmarkStart w:id="25" w:name="_Toc326066278"/>
      <w:r w:rsidRPr="00682CE8">
        <w:t>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полученных экспертными группами и/или закупочными комиссиями, повышение обоснованности принимаемых управленческих решений по ранжированию предложений участников и выбору победителя конкурентной закупочной процедуры.</w:t>
      </w:r>
      <w:bookmarkEnd w:id="23"/>
      <w:bookmarkEnd w:id="24"/>
      <w:bookmarkEnd w:id="25"/>
    </w:p>
    <w:p w:rsidR="00682CE8" w:rsidRPr="00682CE8" w:rsidRDefault="00682CE8" w:rsidP="00682CE8">
      <w:pPr>
        <w:numPr>
          <w:ilvl w:val="0"/>
          <w:numId w:val="4"/>
        </w:numPr>
        <w:jc w:val="both"/>
      </w:pPr>
      <w:bookmarkStart w:id="26" w:name="_Toc326066009"/>
      <w:bookmarkStart w:id="27" w:name="_Toc326066279"/>
      <w:r w:rsidRPr="00682CE8">
        <w:t>Методика устанавливает набор и значимость отборочных и оценочных критериев при проведении финансово-экономической экспертизы.</w:t>
      </w:r>
      <w:bookmarkEnd w:id="26"/>
      <w:bookmarkEnd w:id="27"/>
    </w:p>
    <w:p w:rsidR="00682CE8" w:rsidRPr="00682CE8" w:rsidRDefault="00682CE8" w:rsidP="00682CE8">
      <w:pPr>
        <w:numPr>
          <w:ilvl w:val="1"/>
          <w:numId w:val="5"/>
        </w:numPr>
        <w:ind w:left="360"/>
        <w:jc w:val="both"/>
      </w:pPr>
      <w:r w:rsidRPr="00682CE8">
        <w:t>Область применения</w:t>
      </w:r>
    </w:p>
    <w:p w:rsidR="00682CE8" w:rsidRPr="00682CE8" w:rsidRDefault="00682CE8" w:rsidP="00682CE8">
      <w:pPr>
        <w:numPr>
          <w:ilvl w:val="0"/>
          <w:numId w:val="4"/>
        </w:numPr>
        <w:jc w:val="both"/>
      </w:pPr>
      <w:bookmarkStart w:id="28" w:name="_Toc322961174"/>
      <w:bookmarkStart w:id="29" w:name="_Toc326066010"/>
      <w:bookmarkStart w:id="30" w:name="_Toc326066280"/>
      <w:r w:rsidRPr="00682CE8">
        <w:t>Методика применяется работником Общества / ДЗО / ВЗО, привлеченным для оценки финансово-экономической устойчивости участников закупочной процедуры в рамках деятельности экспертной группы и/или закупочной комиссии по оценке и ранжированию предложений участников закупочной процедуры (далее - Эксперт).</w:t>
      </w:r>
      <w:bookmarkEnd w:id="28"/>
      <w:bookmarkEnd w:id="29"/>
      <w:bookmarkEnd w:id="30"/>
    </w:p>
    <w:p w:rsidR="00682CE8" w:rsidRPr="00682CE8" w:rsidRDefault="00682CE8" w:rsidP="00682CE8">
      <w:pPr>
        <w:numPr>
          <w:ilvl w:val="0"/>
          <w:numId w:val="4"/>
        </w:numPr>
        <w:jc w:val="both"/>
        <w:rPr>
          <w:b/>
          <w:bCs/>
        </w:rPr>
      </w:pPr>
      <w:bookmarkStart w:id="31" w:name="_Toc322961175"/>
      <w:bookmarkStart w:id="32" w:name="_Toc326066011"/>
      <w:bookmarkStart w:id="33" w:name="_Toc326066281"/>
      <w:r w:rsidRPr="00682CE8">
        <w:t>Действие Методики распространяется на:</w:t>
      </w:r>
    </w:p>
    <w:p w:rsidR="00682CE8" w:rsidRPr="00682CE8" w:rsidRDefault="00682CE8" w:rsidP="00682CE8">
      <w:pPr>
        <w:numPr>
          <w:ilvl w:val="0"/>
          <w:numId w:val="17"/>
        </w:numPr>
        <w:ind w:left="1843"/>
        <w:jc w:val="both"/>
        <w:rPr>
          <w:b/>
          <w:bCs/>
        </w:rPr>
      </w:pPr>
      <w:r w:rsidRPr="00682CE8">
        <w:t>работников Общества / ДЗО / ВЗО, привлеченных в качестве Экспертов для проведения экспертизы финансово-экономической устойчивости участников закупочных процедур,</w:t>
      </w:r>
    </w:p>
    <w:p w:rsidR="00682CE8" w:rsidRPr="00682CE8" w:rsidRDefault="00682CE8" w:rsidP="00682CE8">
      <w:pPr>
        <w:numPr>
          <w:ilvl w:val="0"/>
          <w:numId w:val="17"/>
        </w:numPr>
        <w:ind w:left="1843"/>
        <w:jc w:val="both"/>
        <w:rPr>
          <w:b/>
          <w:bCs/>
        </w:rPr>
      </w:pPr>
      <w:r w:rsidRPr="00682CE8">
        <w:t>на работников, использующих результаты указанной экспертизы при ранжировании предложений участников закупочной процедуры (членов закупочной комиссии</w:t>
      </w:r>
      <w:bookmarkEnd w:id="31"/>
      <w:r w:rsidRPr="00682CE8">
        <w:t xml:space="preserve"> Общества / ДЗО / ВЗО),</w:t>
      </w:r>
    </w:p>
    <w:p w:rsidR="00682CE8" w:rsidRPr="00682CE8" w:rsidRDefault="00682CE8" w:rsidP="00682CE8">
      <w:pPr>
        <w:numPr>
          <w:ilvl w:val="0"/>
          <w:numId w:val="17"/>
        </w:numPr>
        <w:ind w:left="1843"/>
        <w:jc w:val="both"/>
        <w:rPr>
          <w:b/>
          <w:bCs/>
        </w:rPr>
      </w:pPr>
      <w:r w:rsidRPr="00682CE8">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p w:rsidR="00682CE8" w:rsidRPr="00682CE8" w:rsidRDefault="00682CE8" w:rsidP="00682CE8">
      <w:pPr>
        <w:numPr>
          <w:ilvl w:val="0"/>
          <w:numId w:val="4"/>
        </w:numPr>
        <w:jc w:val="both"/>
      </w:pPr>
      <w:r w:rsidRPr="00682CE8">
        <w:t>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приложении 1 к Методике.</w:t>
      </w:r>
      <w:bookmarkEnd w:id="32"/>
      <w:bookmarkEnd w:id="33"/>
    </w:p>
    <w:p w:rsidR="00682CE8" w:rsidRPr="00682CE8" w:rsidRDefault="00682CE8" w:rsidP="00682CE8">
      <w:pPr>
        <w:numPr>
          <w:ilvl w:val="0"/>
          <w:numId w:val="4"/>
        </w:numPr>
        <w:jc w:val="both"/>
      </w:pPr>
      <w:r w:rsidRPr="00682CE8">
        <w:t xml:space="preserve">При заключении Обществом / ДЗО / ВЗО договоров без организации конкурентных закупочных процедур оценка финансовой устойчивости </w:t>
      </w:r>
      <w:r w:rsidRPr="00682CE8">
        <w:lastRenderedPageBreak/>
        <w:t>контрагента проводится при необходимости профильным подразделением Общества / ДЗО / ВЗО с применением настоящей Методики.</w:t>
      </w:r>
    </w:p>
    <w:p w:rsidR="00682CE8" w:rsidRPr="00682CE8" w:rsidRDefault="00682CE8" w:rsidP="00682CE8">
      <w:pPr>
        <w:pStyle w:val="1"/>
        <w:numPr>
          <w:ilvl w:val="0"/>
          <w:numId w:val="5"/>
        </w:numPr>
        <w:tabs>
          <w:tab w:val="left" w:pos="540"/>
        </w:tabs>
        <w:ind w:left="540" w:hanging="540"/>
        <w:rPr>
          <w:rFonts w:ascii="Times New Roman" w:hAnsi="Times New Roman" w:cs="Times New Roman"/>
          <w:sz w:val="24"/>
          <w:szCs w:val="24"/>
        </w:rPr>
      </w:pPr>
      <w:bookmarkStart w:id="34" w:name="_Toc314226153"/>
      <w:bookmarkStart w:id="35" w:name="_Toc322961177"/>
      <w:bookmarkStart w:id="36" w:name="_Toc326066012"/>
      <w:bookmarkStart w:id="37" w:name="_Toc326066282"/>
      <w:bookmarkStart w:id="38" w:name="_Toc326067313"/>
      <w:bookmarkStart w:id="39" w:name="_Toc326077648"/>
      <w:r w:rsidRPr="00682CE8">
        <w:rPr>
          <w:rFonts w:ascii="Times New Roman" w:hAnsi="Times New Roman" w:cs="Times New Roman"/>
          <w:sz w:val="24"/>
          <w:szCs w:val="24"/>
        </w:rPr>
        <w:t>Нормативные ссылки</w:t>
      </w:r>
      <w:bookmarkEnd w:id="34"/>
      <w:bookmarkEnd w:id="35"/>
      <w:bookmarkEnd w:id="36"/>
      <w:bookmarkEnd w:id="37"/>
      <w:bookmarkEnd w:id="38"/>
      <w:bookmarkEnd w:id="39"/>
    </w:p>
    <w:p w:rsidR="00682CE8" w:rsidRPr="00682CE8" w:rsidRDefault="00682CE8" w:rsidP="00682CE8">
      <w:pPr>
        <w:numPr>
          <w:ilvl w:val="0"/>
          <w:numId w:val="4"/>
        </w:numPr>
        <w:jc w:val="both"/>
      </w:pPr>
      <w:r w:rsidRPr="00682CE8">
        <w:t>Локальные нормативные акты, регламентирующие закупочную деятельность Общества / ДЗО / ВЗО.</w:t>
      </w:r>
    </w:p>
    <w:p w:rsidR="00682CE8" w:rsidRPr="00682CE8" w:rsidRDefault="00682CE8" w:rsidP="00682CE8">
      <w:pPr>
        <w:pStyle w:val="1"/>
        <w:numPr>
          <w:ilvl w:val="0"/>
          <w:numId w:val="5"/>
        </w:numPr>
        <w:tabs>
          <w:tab w:val="left" w:pos="540"/>
        </w:tabs>
        <w:jc w:val="both"/>
        <w:rPr>
          <w:rFonts w:ascii="Times New Roman" w:hAnsi="Times New Roman" w:cs="Times New Roman"/>
          <w:sz w:val="24"/>
          <w:szCs w:val="24"/>
        </w:rPr>
      </w:pPr>
      <w:bookmarkStart w:id="40" w:name="_Toc314226165"/>
      <w:bookmarkStart w:id="41" w:name="_Toc322961178"/>
      <w:bookmarkStart w:id="42" w:name="_Toc326066013"/>
      <w:bookmarkStart w:id="43" w:name="_Toc326066283"/>
      <w:bookmarkStart w:id="44" w:name="_Toc326067314"/>
      <w:bookmarkStart w:id="45" w:name="_Toc326077649"/>
      <w:r w:rsidRPr="00682CE8">
        <w:rPr>
          <w:rFonts w:ascii="Times New Roman" w:hAnsi="Times New Roman" w:cs="Times New Roman"/>
          <w:sz w:val="24"/>
          <w:szCs w:val="24"/>
        </w:rPr>
        <w:t>Общие положения</w:t>
      </w:r>
      <w:bookmarkEnd w:id="40"/>
      <w:bookmarkEnd w:id="41"/>
      <w:bookmarkEnd w:id="42"/>
      <w:bookmarkEnd w:id="43"/>
      <w:bookmarkEnd w:id="44"/>
      <w:bookmarkEnd w:id="45"/>
    </w:p>
    <w:p w:rsidR="00682CE8" w:rsidRPr="00682CE8" w:rsidRDefault="00682CE8" w:rsidP="00682CE8">
      <w:pPr>
        <w:numPr>
          <w:ilvl w:val="0"/>
          <w:numId w:val="4"/>
        </w:numPr>
        <w:jc w:val="both"/>
      </w:pPr>
      <w:r w:rsidRPr="00682CE8">
        <w:t>Оценка степени соответствия участника закупочной процедуры требованиям 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rsidR="00682CE8" w:rsidRPr="00682CE8" w:rsidRDefault="00682CE8" w:rsidP="00682CE8">
      <w:pPr>
        <w:numPr>
          <w:ilvl w:val="0"/>
          <w:numId w:val="4"/>
        </w:numPr>
        <w:jc w:val="both"/>
      </w:pPr>
      <w:r w:rsidRPr="00682CE8">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конкурентной закупочной процедуры должен составлять не менее 10%.</w:t>
      </w:r>
    </w:p>
    <w:p w:rsidR="00682CE8" w:rsidRPr="00682CE8" w:rsidRDefault="00682CE8" w:rsidP="00682CE8">
      <w:pPr>
        <w:numPr>
          <w:ilvl w:val="0"/>
          <w:numId w:val="4"/>
        </w:numPr>
        <w:jc w:val="both"/>
      </w:pPr>
      <w:r w:rsidRPr="00682CE8">
        <w:t>Финансово-экономическая экспертиза согласно настоящей Методике является обязательной в рамках каждой закупочной процедуры, независимо от того проводилась ли оценка финансового состояния конкретных участников ранее (в рамках аккредитации или другой закупочной процедуры).</w:t>
      </w:r>
    </w:p>
    <w:p w:rsidR="00682CE8" w:rsidRPr="00682CE8" w:rsidRDefault="00682CE8" w:rsidP="00682CE8">
      <w:pPr>
        <w:numPr>
          <w:ilvl w:val="0"/>
          <w:numId w:val="4"/>
        </w:numPr>
        <w:jc w:val="both"/>
      </w:pPr>
      <w:r w:rsidRPr="00682CE8">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этого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установленным подразделением Общества / ДЗО / ВЗО, в интересах которого осуществляется закупка, и закрепленным в закупочной документации. Предложения участников конкурентных закупочных процедур, которые заведомо неспособны исполнить свои обязательства, должны быть отклонены.</w:t>
      </w:r>
    </w:p>
    <w:p w:rsidR="00682CE8" w:rsidRPr="00682CE8" w:rsidRDefault="00682CE8" w:rsidP="00682CE8">
      <w:pPr>
        <w:numPr>
          <w:ilvl w:val="0"/>
          <w:numId w:val="4"/>
        </w:numPr>
        <w:jc w:val="both"/>
      </w:pPr>
      <w:r w:rsidRPr="00682CE8">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682CE8">
        <w:t>балльно</w:t>
      </w:r>
      <w:proofErr w:type="spellEnd"/>
      <w:r w:rsidRPr="00682CE8">
        <w:t>-весовой метод.</w:t>
      </w:r>
    </w:p>
    <w:p w:rsidR="00682CE8" w:rsidRPr="00682CE8" w:rsidRDefault="00682CE8" w:rsidP="00682CE8">
      <w:pPr>
        <w:numPr>
          <w:ilvl w:val="0"/>
          <w:numId w:val="4"/>
        </w:numPr>
        <w:jc w:val="both"/>
      </w:pPr>
      <w:r w:rsidRPr="00682CE8">
        <w:t>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закупочной документации, в том числе настоящей Методики.</w:t>
      </w:r>
    </w:p>
    <w:p w:rsidR="00682CE8" w:rsidRPr="00682CE8" w:rsidRDefault="00682CE8" w:rsidP="00682CE8">
      <w:pPr>
        <w:numPr>
          <w:ilvl w:val="0"/>
          <w:numId w:val="4"/>
        </w:numPr>
        <w:jc w:val="both"/>
      </w:pPr>
      <w:r w:rsidRPr="00682CE8">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p>
    <w:p w:rsidR="00682CE8" w:rsidRPr="00682CE8" w:rsidRDefault="00682CE8" w:rsidP="00682CE8">
      <w:pPr>
        <w:numPr>
          <w:ilvl w:val="0"/>
          <w:numId w:val="4"/>
        </w:numPr>
        <w:jc w:val="both"/>
      </w:pPr>
      <w:r w:rsidRPr="00682CE8">
        <w:lastRenderedPageBreak/>
        <w:t>В случае если, исходя из особенностей закупочной процедуры и требований закупочной документации существуют основания для того, чтобы изменить набор или степень значимости финансово-экономических критериев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rsidR="00682CE8" w:rsidRPr="00682CE8" w:rsidRDefault="00682CE8" w:rsidP="00682CE8">
      <w:pPr>
        <w:pStyle w:val="1"/>
        <w:numPr>
          <w:ilvl w:val="0"/>
          <w:numId w:val="5"/>
        </w:numPr>
        <w:tabs>
          <w:tab w:val="left" w:pos="540"/>
        </w:tabs>
        <w:ind w:left="540" w:hanging="540"/>
        <w:rPr>
          <w:rFonts w:ascii="Times New Roman" w:hAnsi="Times New Roman" w:cs="Times New Roman"/>
          <w:sz w:val="24"/>
          <w:szCs w:val="24"/>
        </w:rPr>
      </w:pPr>
      <w:bookmarkStart w:id="46" w:name="_Toc314226181"/>
      <w:bookmarkStart w:id="47" w:name="_Toc322961179"/>
      <w:bookmarkStart w:id="48" w:name="_Toc326066014"/>
      <w:bookmarkStart w:id="49" w:name="_Toc326066284"/>
      <w:bookmarkStart w:id="50" w:name="_Toc326067315"/>
      <w:bookmarkStart w:id="51" w:name="_Toc326077650"/>
      <w:r w:rsidRPr="00682CE8">
        <w:rPr>
          <w:rFonts w:ascii="Times New Roman" w:hAnsi="Times New Roman" w:cs="Times New Roman"/>
          <w:sz w:val="24"/>
          <w:szCs w:val="24"/>
        </w:rPr>
        <w:t>Информация, используемая для оценки</w:t>
      </w:r>
      <w:bookmarkEnd w:id="46"/>
      <w:bookmarkEnd w:id="47"/>
      <w:bookmarkEnd w:id="48"/>
      <w:bookmarkEnd w:id="49"/>
      <w:bookmarkEnd w:id="50"/>
      <w:bookmarkEnd w:id="51"/>
    </w:p>
    <w:p w:rsidR="00682CE8" w:rsidRPr="00682CE8" w:rsidRDefault="00682CE8" w:rsidP="00682CE8">
      <w:pPr>
        <w:numPr>
          <w:ilvl w:val="0"/>
          <w:numId w:val="2"/>
        </w:numPr>
        <w:spacing w:before="120" w:after="120"/>
        <w:jc w:val="both"/>
      </w:pPr>
      <w:bookmarkStart w:id="52" w:name="_Toc145758362"/>
      <w:bookmarkStart w:id="53" w:name="_Toc145758488"/>
      <w:bookmarkStart w:id="54" w:name="_Toc145759012"/>
      <w:bookmarkStart w:id="55" w:name="_Toc145759275"/>
      <w:bookmarkStart w:id="56" w:name="_Toc145760309"/>
      <w:bookmarkStart w:id="57" w:name="_Toc162934435"/>
      <w:r w:rsidRPr="00682CE8">
        <w:t>Формы бухгалтерской отчетности (баланс и отчет о прибылях и убытках) с отметкой налогового органа за два последних завершенных финансовых года (дополнительно бухгалтерская отчетность на последнюю отчетную дату текущего года в случае предоставления участником может быть использована для оценки без отметки налогового органа). Налоговая декларация для индивидуальных предпринимателей за соответствующие периоды</w:t>
      </w:r>
    </w:p>
    <w:p w:rsidR="00682CE8" w:rsidRPr="00682CE8" w:rsidRDefault="00682CE8" w:rsidP="00682CE8">
      <w:pPr>
        <w:numPr>
          <w:ilvl w:val="0"/>
          <w:numId w:val="2"/>
        </w:numPr>
        <w:spacing w:before="120" w:after="120"/>
        <w:jc w:val="both"/>
      </w:pPr>
      <w:r w:rsidRPr="00682CE8">
        <w:t xml:space="preserve">копия выписки из ЕГРЮЛ/ЕГРИП </w:t>
      </w:r>
    </w:p>
    <w:p w:rsidR="00682CE8" w:rsidRPr="00682CE8" w:rsidRDefault="00682CE8" w:rsidP="00682CE8">
      <w:pPr>
        <w:numPr>
          <w:ilvl w:val="0"/>
          <w:numId w:val="2"/>
        </w:numPr>
        <w:spacing w:before="120" w:after="120"/>
        <w:jc w:val="both"/>
      </w:pPr>
      <w:r w:rsidRPr="00682CE8">
        <w:t>копия устава</w:t>
      </w:r>
    </w:p>
    <w:p w:rsidR="00682CE8" w:rsidRPr="00682CE8" w:rsidRDefault="00682CE8" w:rsidP="00682CE8">
      <w:pPr>
        <w:numPr>
          <w:ilvl w:val="0"/>
          <w:numId w:val="2"/>
        </w:numPr>
        <w:spacing w:before="120" w:after="120"/>
        <w:jc w:val="both"/>
      </w:pPr>
      <w:r w:rsidRPr="00682CE8">
        <w:t>Анкета участника *</w:t>
      </w:r>
    </w:p>
    <w:p w:rsidR="00682CE8" w:rsidRPr="00682CE8" w:rsidRDefault="00682CE8" w:rsidP="00682CE8">
      <w:pPr>
        <w:numPr>
          <w:ilvl w:val="0"/>
          <w:numId w:val="2"/>
        </w:numPr>
        <w:spacing w:before="120" w:after="120"/>
        <w:jc w:val="both"/>
      </w:pPr>
      <w:r w:rsidRPr="00682CE8">
        <w:t>Справка о перечне и объемах выполнения аналогичных договоров*</w:t>
      </w:r>
    </w:p>
    <w:p w:rsidR="00682CE8" w:rsidRPr="00682CE8" w:rsidRDefault="00682CE8" w:rsidP="00682CE8">
      <w:pPr>
        <w:numPr>
          <w:ilvl w:val="0"/>
          <w:numId w:val="2"/>
        </w:numPr>
        <w:spacing w:before="120" w:after="120"/>
        <w:jc w:val="both"/>
      </w:pPr>
      <w:r w:rsidRPr="00682CE8">
        <w:t>Справка о наличии кадровых ресурсов*</w:t>
      </w:r>
    </w:p>
    <w:p w:rsidR="00682CE8" w:rsidRPr="00682CE8" w:rsidRDefault="00682CE8" w:rsidP="00682CE8">
      <w:pPr>
        <w:numPr>
          <w:ilvl w:val="0"/>
          <w:numId w:val="2"/>
        </w:numPr>
        <w:spacing w:before="120" w:after="120"/>
        <w:jc w:val="both"/>
      </w:pPr>
      <w:r w:rsidRPr="00682CE8">
        <w:t>Справка о наличии материально-технических ресурсов*</w:t>
      </w:r>
    </w:p>
    <w:p w:rsidR="00682CE8" w:rsidRPr="00682CE8" w:rsidRDefault="00682CE8" w:rsidP="00682CE8">
      <w:pPr>
        <w:numPr>
          <w:ilvl w:val="0"/>
          <w:numId w:val="2"/>
        </w:numPr>
        <w:spacing w:before="120" w:after="120"/>
        <w:jc w:val="both"/>
      </w:pPr>
      <w:r w:rsidRPr="00682CE8">
        <w:t>Сводная таблица стоимости*</w:t>
      </w:r>
    </w:p>
    <w:p w:rsidR="00682CE8" w:rsidRPr="00682CE8" w:rsidRDefault="00682CE8" w:rsidP="00682CE8">
      <w:pPr>
        <w:numPr>
          <w:ilvl w:val="0"/>
          <w:numId w:val="2"/>
        </w:numPr>
        <w:spacing w:before="120" w:after="120"/>
        <w:jc w:val="both"/>
      </w:pPr>
      <w:r w:rsidRPr="00682CE8">
        <w:t>График и условия оплаты*</w:t>
      </w:r>
    </w:p>
    <w:p w:rsidR="00682CE8" w:rsidRPr="00682CE8" w:rsidRDefault="00682CE8" w:rsidP="00682CE8">
      <w:pPr>
        <w:numPr>
          <w:ilvl w:val="0"/>
          <w:numId w:val="2"/>
        </w:numPr>
        <w:spacing w:before="120" w:after="120"/>
        <w:jc w:val="both"/>
      </w:pPr>
      <w:r w:rsidRPr="00682CE8">
        <w:t>Другие документы, подтверждающие наличие у участника закупочной процедуры релевантного опыта (отзывы, рекомендательные письма)</w:t>
      </w:r>
    </w:p>
    <w:p w:rsidR="00682CE8" w:rsidRPr="00682CE8" w:rsidRDefault="00682CE8" w:rsidP="00682CE8">
      <w:pPr>
        <w:numPr>
          <w:ilvl w:val="0"/>
          <w:numId w:val="2"/>
        </w:numPr>
        <w:spacing w:before="120" w:after="120"/>
        <w:jc w:val="both"/>
      </w:pPr>
      <w:r w:rsidRPr="00682CE8">
        <w:t>Информация из открытых источников</w:t>
      </w:r>
    </w:p>
    <w:p w:rsidR="00682CE8" w:rsidRPr="00682CE8" w:rsidRDefault="00682CE8" w:rsidP="00682CE8">
      <w:pPr>
        <w:numPr>
          <w:ilvl w:val="0"/>
          <w:numId w:val="2"/>
        </w:numPr>
        <w:spacing w:before="120" w:after="120"/>
        <w:jc w:val="both"/>
      </w:pPr>
      <w:r w:rsidRPr="00682CE8">
        <w:t>Информация закрытых источников – данные информационно-аналитических систем «СПАРК», «</w:t>
      </w:r>
      <w:proofErr w:type="spellStart"/>
      <w:r w:rsidRPr="00682CE8">
        <w:t>БизнесИнфоРесурс</w:t>
      </w:r>
      <w:proofErr w:type="spellEnd"/>
      <w:r w:rsidRPr="00682CE8">
        <w:t>»**</w:t>
      </w:r>
    </w:p>
    <w:p w:rsidR="00682CE8" w:rsidRPr="00682CE8" w:rsidRDefault="00682CE8" w:rsidP="00682CE8">
      <w:pPr>
        <w:numPr>
          <w:ilvl w:val="0"/>
          <w:numId w:val="2"/>
        </w:numPr>
        <w:spacing w:before="120" w:after="120"/>
        <w:jc w:val="both"/>
      </w:pPr>
      <w:r w:rsidRPr="00682CE8">
        <w:t>Расшифровка дебиторской и кредиторской задолженности***</w:t>
      </w:r>
    </w:p>
    <w:p w:rsidR="00682CE8" w:rsidRPr="00682CE8" w:rsidRDefault="00682CE8" w:rsidP="00682CE8">
      <w:pPr>
        <w:numPr>
          <w:ilvl w:val="0"/>
          <w:numId w:val="2"/>
        </w:numPr>
        <w:spacing w:before="120" w:after="120"/>
        <w:jc w:val="both"/>
      </w:pPr>
      <w:r w:rsidRPr="00682CE8">
        <w:t>Расшифровка других статей баланса***</w:t>
      </w:r>
    </w:p>
    <w:p w:rsidR="00682CE8" w:rsidRPr="00682CE8" w:rsidRDefault="00682CE8" w:rsidP="00682CE8">
      <w:pPr>
        <w:spacing w:before="120" w:after="120"/>
        <w:jc w:val="both"/>
      </w:pPr>
    </w:p>
    <w:p w:rsidR="00682CE8" w:rsidRPr="00682CE8" w:rsidRDefault="00682CE8" w:rsidP="00682CE8">
      <w:pPr>
        <w:spacing w:before="120" w:after="120"/>
        <w:jc w:val="both"/>
        <w:rPr>
          <w:i/>
        </w:rPr>
      </w:pPr>
      <w:r w:rsidRPr="00682CE8">
        <w:rPr>
          <w:i/>
        </w:rPr>
        <w:t>*документы, составленные по форме, установленной закупочной документацией</w:t>
      </w:r>
    </w:p>
    <w:p w:rsidR="00682CE8" w:rsidRPr="00682CE8" w:rsidRDefault="00682CE8" w:rsidP="00682CE8">
      <w:pPr>
        <w:spacing w:before="120" w:after="120"/>
        <w:jc w:val="both"/>
        <w:rPr>
          <w:i/>
        </w:rPr>
      </w:pPr>
      <w:r w:rsidRPr="00682CE8">
        <w:rPr>
          <w:i/>
        </w:rPr>
        <w:t>**при наличии доступа</w:t>
      </w:r>
    </w:p>
    <w:p w:rsidR="00682CE8" w:rsidRPr="00682CE8" w:rsidRDefault="00682CE8" w:rsidP="00682CE8">
      <w:pPr>
        <w:spacing w:before="120" w:after="120"/>
        <w:jc w:val="both"/>
        <w:rPr>
          <w:i/>
        </w:rPr>
      </w:pPr>
      <w:r w:rsidRPr="00682CE8">
        <w:rPr>
          <w:i/>
        </w:rPr>
        <w:t>***разъяснения, предоставляются по запросу, в случа</w:t>
      </w:r>
      <w:bookmarkEnd w:id="52"/>
      <w:bookmarkEnd w:id="53"/>
      <w:bookmarkEnd w:id="54"/>
      <w:bookmarkEnd w:id="55"/>
      <w:bookmarkEnd w:id="56"/>
      <w:bookmarkEnd w:id="57"/>
      <w:r w:rsidRPr="00682CE8">
        <w:rPr>
          <w:i/>
        </w:rPr>
        <w:t>е необходимости</w:t>
      </w:r>
    </w:p>
    <w:p w:rsidR="00682CE8" w:rsidRPr="00682CE8" w:rsidRDefault="00682CE8" w:rsidP="00682CE8">
      <w:pPr>
        <w:spacing w:before="120" w:after="120"/>
        <w:jc w:val="both"/>
      </w:pPr>
    </w:p>
    <w:p w:rsidR="00682CE8" w:rsidRPr="00682CE8" w:rsidRDefault="00682CE8" w:rsidP="00682CE8">
      <w:pPr>
        <w:pStyle w:val="1"/>
        <w:numPr>
          <w:ilvl w:val="0"/>
          <w:numId w:val="5"/>
        </w:numPr>
        <w:tabs>
          <w:tab w:val="left" w:pos="540"/>
        </w:tabs>
        <w:ind w:left="540" w:hanging="540"/>
        <w:rPr>
          <w:rFonts w:ascii="Times New Roman" w:hAnsi="Times New Roman" w:cs="Times New Roman"/>
          <w:sz w:val="24"/>
          <w:szCs w:val="24"/>
        </w:rPr>
      </w:pPr>
      <w:bookmarkStart w:id="58" w:name="_Toc322961180"/>
      <w:bookmarkStart w:id="59" w:name="_Toc326066015"/>
      <w:bookmarkStart w:id="60" w:name="_Toc326066285"/>
      <w:bookmarkStart w:id="61" w:name="_Toc326067316"/>
      <w:bookmarkStart w:id="62" w:name="_Toc326077651"/>
      <w:r w:rsidRPr="00682CE8">
        <w:rPr>
          <w:rFonts w:ascii="Times New Roman" w:hAnsi="Times New Roman" w:cs="Times New Roman"/>
          <w:sz w:val="24"/>
          <w:szCs w:val="24"/>
        </w:rPr>
        <w:t>Группа финансовых показателей</w:t>
      </w:r>
      <w:bookmarkEnd w:id="58"/>
      <w:bookmarkEnd w:id="59"/>
      <w:bookmarkEnd w:id="60"/>
      <w:bookmarkEnd w:id="61"/>
      <w:bookmarkEnd w:id="62"/>
    </w:p>
    <w:p w:rsidR="00682CE8" w:rsidRPr="00682CE8" w:rsidRDefault="00682CE8" w:rsidP="00682CE8">
      <w:pPr>
        <w:numPr>
          <w:ilvl w:val="1"/>
          <w:numId w:val="5"/>
        </w:numPr>
        <w:spacing w:before="120" w:after="120"/>
        <w:jc w:val="both"/>
        <w:rPr>
          <w:b/>
        </w:rPr>
      </w:pPr>
      <w:r w:rsidRPr="00682CE8">
        <w:rPr>
          <w:b/>
        </w:rPr>
        <w:t>Коэффициенты, характеризующие способность компании расплачиваться по финансовым обязательствам, устойчивость и рентабельность</w:t>
      </w:r>
    </w:p>
    <w:p w:rsidR="00682CE8" w:rsidRPr="00682CE8" w:rsidRDefault="00682CE8" w:rsidP="00682CE8">
      <w:pPr>
        <w:numPr>
          <w:ilvl w:val="2"/>
          <w:numId w:val="5"/>
        </w:numPr>
        <w:tabs>
          <w:tab w:val="clear" w:pos="1584"/>
          <w:tab w:val="num" w:pos="1560"/>
        </w:tabs>
        <w:spacing w:before="120" w:after="120"/>
        <w:jc w:val="both"/>
        <w:rPr>
          <w:b/>
          <w:i/>
        </w:rPr>
      </w:pPr>
      <w:r w:rsidRPr="00682CE8">
        <w:rPr>
          <w:b/>
          <w:i/>
        </w:rPr>
        <w:t>Доля привлеченных средств в пассивах</w:t>
      </w:r>
    </w:p>
    <w:p w:rsidR="00682CE8" w:rsidRPr="00682CE8" w:rsidRDefault="00682CE8" w:rsidP="00682CE8">
      <w:pPr>
        <w:spacing w:before="120" w:after="120"/>
        <w:ind w:left="1134"/>
        <w:jc w:val="both"/>
      </w:pPr>
      <w:r w:rsidRPr="00682CE8">
        <w:t xml:space="preserve">Коэффициент характеризует зависимость предприятия от внешних источников финансирования, его финансовую устойчивость. При прочих равных условиях: </w:t>
      </w:r>
      <w:r w:rsidRPr="00682CE8">
        <w:lastRenderedPageBreak/>
        <w:t>чем больше у предприятия доля собственных средств в пассивах, тем больше у него возможностей для дополнительного привлечения заемных средств:</w:t>
      </w:r>
    </w:p>
    <w:p w:rsidR="00682CE8" w:rsidRPr="00682CE8" w:rsidRDefault="00682CE8" w:rsidP="00682CE8">
      <w:pPr>
        <w:spacing w:before="120" w:after="120"/>
        <w:ind w:left="1134"/>
        <w:jc w:val="both"/>
      </w:pPr>
      <w:r w:rsidRPr="00682CE8">
        <w:rPr>
          <w:position w:val="-30"/>
        </w:rPr>
        <w:object w:dxaOrig="70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39pt" o:ole="">
            <v:imagedata r:id="rId9" o:title=""/>
          </v:shape>
          <o:OLEObject Type="Embed" ProgID="Equation.3" ShapeID="_x0000_i1025" DrawAspect="Content" ObjectID="_1525005797" r:id="rId10"/>
        </w:object>
      </w:r>
    </w:p>
    <w:p w:rsidR="00682CE8" w:rsidRPr="00682CE8" w:rsidRDefault="00682CE8" w:rsidP="00682CE8">
      <w:pPr>
        <w:numPr>
          <w:ilvl w:val="2"/>
          <w:numId w:val="5"/>
        </w:numPr>
        <w:spacing w:before="120" w:after="120"/>
        <w:jc w:val="both"/>
        <w:rPr>
          <w:b/>
          <w:i/>
        </w:rPr>
      </w:pPr>
      <w:r w:rsidRPr="00682CE8">
        <w:rPr>
          <w:b/>
          <w:i/>
        </w:rPr>
        <w:t>Рентабельность инвестированного капитала</w:t>
      </w:r>
    </w:p>
    <w:p w:rsidR="00682CE8" w:rsidRPr="00682CE8" w:rsidRDefault="00682CE8" w:rsidP="00682CE8">
      <w:pPr>
        <w:spacing w:before="120" w:after="120"/>
        <w:ind w:left="1134"/>
        <w:jc w:val="both"/>
      </w:pPr>
      <w:r w:rsidRPr="00682CE8">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rsidR="00682CE8" w:rsidRPr="00682CE8" w:rsidRDefault="00682CE8" w:rsidP="00682CE8">
      <w:pPr>
        <w:spacing w:before="120" w:after="120"/>
        <w:ind w:left="1134"/>
        <w:jc w:val="both"/>
      </w:pPr>
      <w:r w:rsidRPr="00682CE8">
        <w:rPr>
          <w:position w:val="-30"/>
        </w:rPr>
        <w:object w:dxaOrig="7100" w:dyaOrig="680">
          <v:shape id="_x0000_i1026" type="#_x0000_t75" style="width:386.25pt;height:36.75pt" o:ole="">
            <v:imagedata r:id="rId11" o:title=""/>
          </v:shape>
          <o:OLEObject Type="Embed" ProgID="Equation.3" ShapeID="_x0000_i1026" DrawAspect="Content" ObjectID="_1525005798" r:id="rId12"/>
        </w:object>
      </w:r>
      <w:r w:rsidRPr="00682CE8">
        <w:t>,</w:t>
      </w:r>
    </w:p>
    <w:p w:rsidR="00682CE8" w:rsidRPr="00682CE8" w:rsidRDefault="00682CE8" w:rsidP="00682CE8">
      <w:pPr>
        <w:spacing w:before="120" w:after="120"/>
        <w:ind w:left="1134"/>
        <w:jc w:val="both"/>
      </w:pPr>
      <w:r w:rsidRPr="00682CE8">
        <w:t>где Т – ставка налога на прибыль.</w:t>
      </w:r>
    </w:p>
    <w:p w:rsidR="00682CE8" w:rsidRPr="00682CE8" w:rsidRDefault="00682CE8" w:rsidP="00682CE8">
      <w:pPr>
        <w:numPr>
          <w:ilvl w:val="2"/>
          <w:numId w:val="5"/>
        </w:numPr>
        <w:spacing w:before="120" w:after="120"/>
        <w:jc w:val="both"/>
        <w:rPr>
          <w:b/>
          <w:i/>
        </w:rPr>
      </w:pPr>
      <w:r w:rsidRPr="00682CE8">
        <w:rPr>
          <w:b/>
          <w:i/>
        </w:rPr>
        <w:t>Долг / EBITDA</w:t>
      </w:r>
    </w:p>
    <w:p w:rsidR="00682CE8" w:rsidRPr="00682CE8" w:rsidRDefault="00682CE8" w:rsidP="00682CE8">
      <w:pPr>
        <w:spacing w:before="120" w:after="120"/>
        <w:ind w:left="1134"/>
        <w:jc w:val="both"/>
      </w:pPr>
      <w:r w:rsidRPr="00682CE8">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компания 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682CE8">
        <w:rPr>
          <w:lang w:val="en-US"/>
        </w:rPr>
        <w:t>EBITDA</w:t>
      </w:r>
      <w:r w:rsidRPr="00682CE8">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rsidR="00682CE8" w:rsidRPr="00682CE8" w:rsidRDefault="00682CE8" w:rsidP="00682CE8">
      <w:pPr>
        <w:spacing w:before="120" w:after="120"/>
        <w:ind w:left="1134"/>
        <w:jc w:val="both"/>
      </w:pPr>
      <w:r w:rsidRPr="00682CE8">
        <w:rPr>
          <w:position w:val="-24"/>
        </w:rPr>
        <w:object w:dxaOrig="8520" w:dyaOrig="620">
          <v:shape id="_x0000_i1027" type="#_x0000_t75" style="width:397.5pt;height:28.5pt" o:ole="">
            <v:imagedata r:id="rId13" o:title=""/>
          </v:shape>
          <o:OLEObject Type="Embed" ProgID="Equation.3" ShapeID="_x0000_i1027" DrawAspect="Content" ObjectID="_1525005799" r:id="rId14"/>
        </w:object>
      </w:r>
    </w:p>
    <w:p w:rsidR="00682CE8" w:rsidRPr="00682CE8" w:rsidRDefault="00682CE8" w:rsidP="00682CE8">
      <w:pPr>
        <w:jc w:val="right"/>
      </w:pPr>
      <w:r w:rsidRPr="00682CE8">
        <w:t>Таблица перевода значений финансовых показателей в баллы по шкале от 0 до 1</w:t>
      </w:r>
    </w:p>
    <w:p w:rsidR="00682CE8" w:rsidRPr="00682CE8" w:rsidRDefault="00682CE8" w:rsidP="00682CE8">
      <w:pPr>
        <w:jc w:val="both"/>
      </w:pPr>
    </w:p>
    <w:tbl>
      <w:tblPr>
        <w:tblW w:w="9229" w:type="dxa"/>
        <w:tblInd w:w="93" w:type="dxa"/>
        <w:tblLayout w:type="fixed"/>
        <w:tblLook w:val="04A0" w:firstRow="1" w:lastRow="0" w:firstColumn="1" w:lastColumn="0" w:noHBand="0" w:noVBand="1"/>
      </w:tblPr>
      <w:tblGrid>
        <w:gridCol w:w="1858"/>
        <w:gridCol w:w="851"/>
        <w:gridCol w:w="850"/>
        <w:gridCol w:w="851"/>
        <w:gridCol w:w="567"/>
        <w:gridCol w:w="567"/>
        <w:gridCol w:w="567"/>
        <w:gridCol w:w="567"/>
        <w:gridCol w:w="567"/>
        <w:gridCol w:w="567"/>
        <w:gridCol w:w="567"/>
        <w:gridCol w:w="850"/>
      </w:tblGrid>
      <w:tr w:rsidR="00682CE8" w:rsidRPr="00682CE8" w:rsidTr="002522AC">
        <w:trPr>
          <w:trHeight w:val="300"/>
        </w:trPr>
        <w:tc>
          <w:tcPr>
            <w:tcW w:w="1858"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682CE8" w:rsidRPr="00682CE8" w:rsidRDefault="00682CE8" w:rsidP="002522AC">
            <w:pPr>
              <w:rPr>
                <w:color w:val="000000"/>
              </w:rPr>
            </w:pPr>
            <w:r w:rsidRPr="00682CE8">
              <w:rPr>
                <w:color w:val="000000"/>
                <w:sz w:val="22"/>
                <w:szCs w:val="22"/>
              </w:rPr>
              <w:t>Оценка</w:t>
            </w:r>
          </w:p>
          <w:p w:rsidR="00682CE8" w:rsidRPr="00682CE8" w:rsidRDefault="00682CE8" w:rsidP="002522AC">
            <w:pPr>
              <w:rPr>
                <w:color w:val="000000"/>
              </w:rPr>
            </w:pPr>
            <w:r w:rsidRPr="00682CE8">
              <w:rPr>
                <w:color w:val="000000"/>
                <w:sz w:val="22"/>
                <w:szCs w:val="22"/>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1,0</w:t>
            </w:r>
          </w:p>
        </w:tc>
      </w:tr>
      <w:tr w:rsidR="00682CE8" w:rsidRPr="00682CE8" w:rsidTr="002522AC">
        <w:trPr>
          <w:trHeight w:val="600"/>
        </w:trPr>
        <w:tc>
          <w:tcPr>
            <w:tcW w:w="1858"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 xml:space="preserve">Доля </w:t>
            </w:r>
            <w:proofErr w:type="spellStart"/>
            <w:r w:rsidRPr="00682CE8">
              <w:rPr>
                <w:color w:val="000000"/>
                <w:sz w:val="20"/>
                <w:szCs w:val="20"/>
              </w:rPr>
              <w:t>привл-ных</w:t>
            </w:r>
            <w:proofErr w:type="spellEnd"/>
            <w:r w:rsidRPr="00682CE8">
              <w:rPr>
                <w:color w:val="000000"/>
                <w:sz w:val="20"/>
                <w:szCs w:val="20"/>
              </w:rPr>
              <w:t xml:space="preserve">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100% и более</w:t>
            </w:r>
          </w:p>
        </w:tc>
        <w:tc>
          <w:tcPr>
            <w:tcW w:w="85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99,5%</w:t>
            </w:r>
          </w:p>
        </w:tc>
        <w:tc>
          <w:tcPr>
            <w:tcW w:w="851"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98,5%</w:t>
            </w:r>
          </w:p>
        </w:tc>
        <w:tc>
          <w:tcPr>
            <w:tcW w:w="567"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98%</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96%</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94%</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92%</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90%</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83%</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76%</w:t>
            </w:r>
          </w:p>
        </w:tc>
        <w:tc>
          <w:tcPr>
            <w:tcW w:w="85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до 70%</w:t>
            </w:r>
          </w:p>
        </w:tc>
      </w:tr>
      <w:tr w:rsidR="00682CE8" w:rsidRPr="00682CE8" w:rsidTr="002522AC">
        <w:trPr>
          <w:trHeight w:val="915"/>
        </w:trPr>
        <w:tc>
          <w:tcPr>
            <w:tcW w:w="1858"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-10%</w:t>
            </w:r>
          </w:p>
        </w:tc>
        <w:tc>
          <w:tcPr>
            <w:tcW w:w="851"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-7%</w:t>
            </w:r>
          </w:p>
        </w:tc>
        <w:tc>
          <w:tcPr>
            <w:tcW w:w="567"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-3%</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0%</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3%</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7%</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10%</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13%</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17%</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более 20%</w:t>
            </w:r>
          </w:p>
        </w:tc>
      </w:tr>
      <w:tr w:rsidR="00682CE8" w:rsidRPr="00682CE8" w:rsidTr="002522AC">
        <w:trPr>
          <w:trHeight w:val="600"/>
        </w:trPr>
        <w:tc>
          <w:tcPr>
            <w:tcW w:w="1858"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Долг / EBITDA, лет</w:t>
            </w:r>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11</w:t>
            </w:r>
          </w:p>
        </w:tc>
        <w:tc>
          <w:tcPr>
            <w:tcW w:w="851"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10</w:t>
            </w:r>
          </w:p>
        </w:tc>
        <w:tc>
          <w:tcPr>
            <w:tcW w:w="567"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9</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8</w:t>
            </w:r>
          </w:p>
        </w:tc>
        <w:tc>
          <w:tcPr>
            <w:tcW w:w="567"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7</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6</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5</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4</w:t>
            </w:r>
          </w:p>
        </w:tc>
        <w:tc>
          <w:tcPr>
            <w:tcW w:w="567"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3</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менее 2 лет</w:t>
            </w:r>
          </w:p>
        </w:tc>
      </w:tr>
    </w:tbl>
    <w:p w:rsidR="00682CE8" w:rsidRPr="00682CE8" w:rsidRDefault="00682CE8" w:rsidP="00682CE8">
      <w:pPr>
        <w:spacing w:before="120" w:after="120"/>
        <w:ind w:left="720"/>
        <w:jc w:val="both"/>
      </w:pPr>
    </w:p>
    <w:p w:rsidR="00682CE8" w:rsidRPr="00682CE8" w:rsidRDefault="00682CE8" w:rsidP="00682CE8">
      <w:pPr>
        <w:numPr>
          <w:ilvl w:val="1"/>
          <w:numId w:val="5"/>
        </w:numPr>
        <w:spacing w:before="120" w:after="120"/>
        <w:jc w:val="both"/>
        <w:rPr>
          <w:b/>
        </w:rPr>
      </w:pPr>
      <w:r w:rsidRPr="00682CE8">
        <w:rPr>
          <w:b/>
        </w:rPr>
        <w:t>Коэффициенты, характеризующие операционную деятельность</w:t>
      </w:r>
    </w:p>
    <w:p w:rsidR="00682CE8" w:rsidRPr="00682CE8" w:rsidRDefault="00682CE8" w:rsidP="00682CE8">
      <w:pPr>
        <w:numPr>
          <w:ilvl w:val="2"/>
          <w:numId w:val="5"/>
        </w:numPr>
        <w:spacing w:before="120" w:after="120"/>
        <w:jc w:val="both"/>
        <w:rPr>
          <w:b/>
          <w:i/>
        </w:rPr>
      </w:pPr>
      <w:r w:rsidRPr="00682CE8">
        <w:rPr>
          <w:b/>
          <w:i/>
        </w:rPr>
        <w:t>Период оборота кредиторской задолженности</w:t>
      </w:r>
    </w:p>
    <w:p w:rsidR="00682CE8" w:rsidRPr="00682CE8" w:rsidRDefault="00682CE8" w:rsidP="00682CE8">
      <w:pPr>
        <w:spacing w:before="120" w:after="120"/>
        <w:ind w:left="1134"/>
        <w:jc w:val="both"/>
      </w:pPr>
      <w:r w:rsidRPr="00682CE8">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rsidR="00682CE8" w:rsidRPr="00682CE8" w:rsidRDefault="00682CE8" w:rsidP="00682CE8">
      <w:pPr>
        <w:spacing w:before="120" w:after="120"/>
        <w:ind w:left="1134"/>
        <w:jc w:val="both"/>
        <w:rPr>
          <w:b/>
          <w:i/>
        </w:rPr>
      </w:pPr>
      <w:r w:rsidRPr="00682CE8">
        <w:object w:dxaOrig="4780" w:dyaOrig="680">
          <v:shape id="_x0000_i1028" type="#_x0000_t75" style="width:239.25pt;height:33.75pt" o:ole="">
            <v:imagedata r:id="rId15" o:title=""/>
          </v:shape>
          <o:OLEObject Type="Embed" ProgID="Equation.3" ShapeID="_x0000_i1028" DrawAspect="Content" ObjectID="_1525005800" r:id="rId16"/>
        </w:object>
      </w:r>
    </w:p>
    <w:p w:rsidR="00682CE8" w:rsidRPr="00682CE8" w:rsidRDefault="00682CE8" w:rsidP="00682CE8">
      <w:pPr>
        <w:numPr>
          <w:ilvl w:val="2"/>
          <w:numId w:val="5"/>
        </w:numPr>
        <w:spacing w:before="120" w:after="120"/>
        <w:jc w:val="both"/>
        <w:rPr>
          <w:b/>
          <w:i/>
        </w:rPr>
      </w:pPr>
      <w:r w:rsidRPr="00682CE8">
        <w:rPr>
          <w:b/>
          <w:i/>
        </w:rPr>
        <w:t>Период оборота дебиторской задолженности.</w:t>
      </w:r>
    </w:p>
    <w:p w:rsidR="00682CE8" w:rsidRPr="00682CE8" w:rsidRDefault="00682CE8" w:rsidP="00682CE8">
      <w:pPr>
        <w:spacing w:before="120" w:after="120"/>
        <w:ind w:left="1134"/>
        <w:jc w:val="both"/>
      </w:pPr>
      <w:r w:rsidRPr="00682CE8">
        <w:t>Показатель оценивает срок (в днях), в течение которого покупатели в среднем расплачиваются с оцениваемой компанией, т. е. косвенно характеризует платежеспособность покупателей, а также эффективность мероприятий по сбору платежей:</w:t>
      </w:r>
    </w:p>
    <w:p w:rsidR="00682CE8" w:rsidRPr="00682CE8" w:rsidRDefault="00682CE8" w:rsidP="00682CE8">
      <w:pPr>
        <w:spacing w:before="120" w:after="120"/>
        <w:ind w:left="1134"/>
        <w:jc w:val="both"/>
      </w:pPr>
      <w:r w:rsidRPr="00682CE8">
        <w:object w:dxaOrig="4819" w:dyaOrig="680">
          <v:shape id="_x0000_i1029" type="#_x0000_t75" style="width:240.75pt;height:33.75pt" o:ole="">
            <v:imagedata r:id="rId17" o:title=""/>
          </v:shape>
          <o:OLEObject Type="Embed" ProgID="Equation.3" ShapeID="_x0000_i1029" DrawAspect="Content" ObjectID="_1525005801" r:id="rId18"/>
        </w:object>
      </w:r>
    </w:p>
    <w:p w:rsidR="00682CE8" w:rsidRPr="00682CE8" w:rsidRDefault="00682CE8" w:rsidP="00682CE8">
      <w:pPr>
        <w:jc w:val="right"/>
      </w:pPr>
      <w:r w:rsidRPr="00682CE8">
        <w:t>Таблица перевода значений финансовых показателей в баллы по шкале от 0 до 1</w:t>
      </w:r>
    </w:p>
    <w:p w:rsidR="00682CE8" w:rsidRPr="00682CE8" w:rsidRDefault="00682CE8" w:rsidP="00682CE8">
      <w:pPr>
        <w:jc w:val="right"/>
      </w:pPr>
    </w:p>
    <w:tbl>
      <w:tblPr>
        <w:tblW w:w="9229" w:type="dxa"/>
        <w:tblInd w:w="93" w:type="dxa"/>
        <w:tblLayout w:type="fixed"/>
        <w:tblLook w:val="04A0" w:firstRow="1" w:lastRow="0" w:firstColumn="1" w:lastColumn="0" w:noHBand="0" w:noVBand="1"/>
      </w:tblPr>
      <w:tblGrid>
        <w:gridCol w:w="1858"/>
        <w:gridCol w:w="851"/>
        <w:gridCol w:w="630"/>
        <w:gridCol w:w="630"/>
        <w:gridCol w:w="630"/>
        <w:gridCol w:w="630"/>
        <w:gridCol w:w="630"/>
        <w:gridCol w:w="630"/>
        <w:gridCol w:w="630"/>
        <w:gridCol w:w="630"/>
        <w:gridCol w:w="630"/>
        <w:gridCol w:w="850"/>
      </w:tblGrid>
      <w:tr w:rsidR="00682CE8" w:rsidRPr="00682CE8" w:rsidTr="002522AC">
        <w:trPr>
          <w:trHeight w:val="300"/>
        </w:trPr>
        <w:tc>
          <w:tcPr>
            <w:tcW w:w="1858" w:type="dxa"/>
            <w:tcBorders>
              <w:top w:val="single" w:sz="4" w:space="0" w:color="auto"/>
              <w:left w:val="single" w:sz="4" w:space="0" w:color="auto"/>
              <w:bottom w:val="single" w:sz="4" w:space="0" w:color="auto"/>
              <w:right w:val="single" w:sz="4" w:space="0" w:color="auto"/>
            </w:tcBorders>
            <w:shd w:val="clear" w:color="000000" w:fill="F2F2F2"/>
            <w:noWrap/>
            <w:vAlign w:val="bottom"/>
          </w:tcPr>
          <w:p w:rsidR="00682CE8" w:rsidRPr="00682CE8" w:rsidRDefault="00682CE8" w:rsidP="002522AC">
            <w:pPr>
              <w:rPr>
                <w:color w:val="000000"/>
              </w:rPr>
            </w:pPr>
            <w:r w:rsidRPr="00682CE8">
              <w:rPr>
                <w:color w:val="000000"/>
                <w:sz w:val="22"/>
                <w:szCs w:val="22"/>
              </w:rPr>
              <w:t>Оценка</w:t>
            </w:r>
          </w:p>
          <w:p w:rsidR="00682CE8" w:rsidRPr="00682CE8" w:rsidRDefault="00682CE8" w:rsidP="002522AC">
            <w:pPr>
              <w:rPr>
                <w:color w:val="000000"/>
              </w:rPr>
            </w:pPr>
            <w:r w:rsidRPr="00682CE8">
              <w:rPr>
                <w:color w:val="000000"/>
                <w:sz w:val="22"/>
                <w:szCs w:val="22"/>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1,0</w:t>
            </w:r>
          </w:p>
        </w:tc>
      </w:tr>
      <w:tr w:rsidR="00682CE8" w:rsidRPr="00682CE8" w:rsidTr="002522AC">
        <w:trPr>
          <w:trHeight w:val="600"/>
        </w:trPr>
        <w:tc>
          <w:tcPr>
            <w:tcW w:w="1858" w:type="dxa"/>
            <w:tcBorders>
              <w:top w:val="nil"/>
              <w:left w:val="single" w:sz="4" w:space="0" w:color="auto"/>
              <w:bottom w:val="single" w:sz="4" w:space="0" w:color="auto"/>
              <w:right w:val="single" w:sz="4" w:space="0" w:color="auto"/>
            </w:tcBorders>
            <w:shd w:val="clear" w:color="auto" w:fill="auto"/>
          </w:tcPr>
          <w:p w:rsidR="00682CE8" w:rsidRPr="00682CE8" w:rsidRDefault="00682CE8" w:rsidP="002522AC">
            <w:pPr>
              <w:rPr>
                <w:color w:val="000000"/>
                <w:sz w:val="20"/>
                <w:szCs w:val="20"/>
              </w:rPr>
            </w:pPr>
            <w:r w:rsidRPr="00682CE8">
              <w:rPr>
                <w:color w:val="000000"/>
                <w:sz w:val="20"/>
                <w:szCs w:val="20"/>
              </w:rPr>
              <w:t xml:space="preserve">период оборота дебиторской задолженности, </w:t>
            </w:r>
            <w:proofErr w:type="spellStart"/>
            <w:r w:rsidRPr="00682CE8">
              <w:rPr>
                <w:color w:val="000000"/>
                <w:sz w:val="20"/>
                <w:szCs w:val="20"/>
              </w:rPr>
              <w:t>дн</w:t>
            </w:r>
            <w:proofErr w:type="spellEnd"/>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rPr>
                <w:color w:val="000000"/>
                <w:sz w:val="20"/>
                <w:szCs w:val="20"/>
              </w:rPr>
            </w:pPr>
            <w:r w:rsidRPr="00682CE8">
              <w:rPr>
                <w:color w:val="000000"/>
                <w:sz w:val="20"/>
                <w:szCs w:val="2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165</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150</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135</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right"/>
              <w:rPr>
                <w:color w:val="000000"/>
                <w:sz w:val="20"/>
                <w:szCs w:val="20"/>
              </w:rPr>
            </w:pPr>
            <w:r w:rsidRPr="00682CE8">
              <w:rPr>
                <w:color w:val="000000"/>
                <w:sz w:val="20"/>
                <w:szCs w:val="20"/>
              </w:rPr>
              <w:t>120</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right"/>
              <w:rPr>
                <w:color w:val="000000"/>
                <w:sz w:val="20"/>
                <w:szCs w:val="20"/>
              </w:rPr>
            </w:pPr>
            <w:r w:rsidRPr="00682CE8">
              <w:rPr>
                <w:color w:val="000000"/>
                <w:sz w:val="20"/>
                <w:szCs w:val="20"/>
              </w:rPr>
              <w:t>105</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90</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75</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60</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45</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rPr>
                <w:color w:val="000000"/>
                <w:sz w:val="20"/>
                <w:szCs w:val="20"/>
              </w:rPr>
            </w:pPr>
            <w:r w:rsidRPr="00682CE8">
              <w:rPr>
                <w:color w:val="000000"/>
                <w:sz w:val="20"/>
                <w:szCs w:val="20"/>
              </w:rPr>
              <w:t>до 30 дней</w:t>
            </w:r>
          </w:p>
        </w:tc>
      </w:tr>
      <w:tr w:rsidR="00682CE8" w:rsidRPr="00682CE8" w:rsidTr="002522AC">
        <w:trPr>
          <w:trHeight w:val="600"/>
        </w:trPr>
        <w:tc>
          <w:tcPr>
            <w:tcW w:w="1858" w:type="dxa"/>
            <w:tcBorders>
              <w:top w:val="nil"/>
              <w:left w:val="single" w:sz="4" w:space="0" w:color="auto"/>
              <w:bottom w:val="single" w:sz="4" w:space="0" w:color="auto"/>
              <w:right w:val="single" w:sz="4" w:space="0" w:color="auto"/>
            </w:tcBorders>
            <w:shd w:val="clear" w:color="auto" w:fill="auto"/>
          </w:tcPr>
          <w:p w:rsidR="00682CE8" w:rsidRPr="00682CE8" w:rsidRDefault="00682CE8" w:rsidP="002522AC">
            <w:pPr>
              <w:rPr>
                <w:color w:val="000000"/>
                <w:sz w:val="20"/>
                <w:szCs w:val="20"/>
              </w:rPr>
            </w:pPr>
            <w:r w:rsidRPr="00682CE8">
              <w:rPr>
                <w:color w:val="000000"/>
                <w:sz w:val="20"/>
                <w:szCs w:val="20"/>
              </w:rPr>
              <w:t xml:space="preserve">период оборота кредиторской задолженности, </w:t>
            </w:r>
            <w:proofErr w:type="spellStart"/>
            <w:r w:rsidRPr="00682CE8">
              <w:rPr>
                <w:color w:val="000000"/>
                <w:sz w:val="20"/>
                <w:szCs w:val="20"/>
              </w:rPr>
              <w:t>дн</w:t>
            </w:r>
            <w:proofErr w:type="spellEnd"/>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rPr>
                <w:color w:val="000000"/>
                <w:sz w:val="20"/>
                <w:szCs w:val="20"/>
              </w:rPr>
            </w:pPr>
            <w:r w:rsidRPr="00682CE8">
              <w:rPr>
                <w:color w:val="000000"/>
                <w:sz w:val="20"/>
                <w:szCs w:val="2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165</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150</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right"/>
              <w:rPr>
                <w:color w:val="000000"/>
                <w:sz w:val="20"/>
                <w:szCs w:val="20"/>
              </w:rPr>
            </w:pPr>
            <w:r w:rsidRPr="00682CE8">
              <w:rPr>
                <w:color w:val="000000"/>
                <w:sz w:val="20"/>
                <w:szCs w:val="20"/>
              </w:rPr>
              <w:t>135</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right"/>
              <w:rPr>
                <w:color w:val="000000"/>
                <w:sz w:val="20"/>
                <w:szCs w:val="20"/>
              </w:rPr>
            </w:pPr>
            <w:r w:rsidRPr="00682CE8">
              <w:rPr>
                <w:color w:val="000000"/>
                <w:sz w:val="20"/>
                <w:szCs w:val="20"/>
              </w:rPr>
              <w:t>120</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right"/>
              <w:rPr>
                <w:color w:val="000000"/>
                <w:sz w:val="20"/>
                <w:szCs w:val="20"/>
              </w:rPr>
            </w:pPr>
            <w:r w:rsidRPr="00682CE8">
              <w:rPr>
                <w:color w:val="000000"/>
                <w:sz w:val="20"/>
                <w:szCs w:val="20"/>
              </w:rPr>
              <w:t>105</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90</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75</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60</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right"/>
              <w:rPr>
                <w:color w:val="000000"/>
                <w:sz w:val="20"/>
                <w:szCs w:val="20"/>
              </w:rPr>
            </w:pPr>
            <w:r w:rsidRPr="00682CE8">
              <w:rPr>
                <w:color w:val="000000"/>
                <w:sz w:val="20"/>
                <w:szCs w:val="20"/>
              </w:rPr>
              <w:t>45</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rPr>
                <w:color w:val="000000"/>
                <w:sz w:val="20"/>
                <w:szCs w:val="20"/>
              </w:rPr>
            </w:pPr>
            <w:r w:rsidRPr="00682CE8">
              <w:rPr>
                <w:color w:val="000000"/>
                <w:sz w:val="20"/>
                <w:szCs w:val="20"/>
              </w:rPr>
              <w:t>до 30 дней</w:t>
            </w:r>
          </w:p>
        </w:tc>
      </w:tr>
    </w:tbl>
    <w:p w:rsidR="00682CE8" w:rsidRPr="00682CE8" w:rsidRDefault="00682CE8" w:rsidP="00682CE8">
      <w:pPr>
        <w:spacing w:before="120" w:after="120"/>
        <w:jc w:val="both"/>
      </w:pPr>
    </w:p>
    <w:p w:rsidR="00682CE8" w:rsidRPr="00682CE8" w:rsidRDefault="00682CE8" w:rsidP="00682CE8">
      <w:pPr>
        <w:numPr>
          <w:ilvl w:val="1"/>
          <w:numId w:val="5"/>
        </w:numPr>
        <w:spacing w:before="120" w:after="120"/>
        <w:jc w:val="both"/>
        <w:rPr>
          <w:b/>
        </w:rPr>
      </w:pPr>
      <w:r w:rsidRPr="00682CE8">
        <w:rPr>
          <w:b/>
        </w:rPr>
        <w:t>Коэффициенты, характеризующие ликвидность</w:t>
      </w:r>
    </w:p>
    <w:p w:rsidR="00682CE8" w:rsidRPr="00682CE8" w:rsidRDefault="00682CE8" w:rsidP="00682CE8">
      <w:pPr>
        <w:numPr>
          <w:ilvl w:val="2"/>
          <w:numId w:val="5"/>
        </w:numPr>
        <w:spacing w:before="120" w:after="120"/>
        <w:jc w:val="both"/>
        <w:rPr>
          <w:b/>
          <w:i/>
        </w:rPr>
      </w:pPr>
      <w:r w:rsidRPr="00682CE8">
        <w:rPr>
          <w:b/>
          <w:i/>
        </w:rPr>
        <w:t>Абсолютная ликвидность</w:t>
      </w:r>
    </w:p>
    <w:p w:rsidR="00682CE8" w:rsidRPr="00682CE8" w:rsidRDefault="00682CE8" w:rsidP="00682CE8">
      <w:pPr>
        <w:spacing w:before="120" w:after="120"/>
        <w:ind w:left="1134"/>
        <w:jc w:val="both"/>
      </w:pPr>
      <w:r w:rsidRPr="00682CE8">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rsidR="00682CE8" w:rsidRPr="00682CE8" w:rsidRDefault="00682CE8" w:rsidP="00682CE8">
      <w:pPr>
        <w:spacing w:before="120" w:after="120"/>
        <w:ind w:left="1134"/>
        <w:jc w:val="both"/>
        <w:rPr>
          <w:b/>
          <w:i/>
        </w:rPr>
      </w:pPr>
      <w:r w:rsidRPr="00682CE8">
        <w:object w:dxaOrig="3540" w:dyaOrig="680">
          <v:shape id="_x0000_i1030" type="#_x0000_t75" style="width:177pt;height:33.75pt" o:ole="">
            <v:imagedata r:id="rId19" o:title=""/>
          </v:shape>
          <o:OLEObject Type="Embed" ProgID="Equation.3" ShapeID="_x0000_i1030" DrawAspect="Content" ObjectID="_1525005802" r:id="rId20"/>
        </w:object>
      </w:r>
    </w:p>
    <w:p w:rsidR="00682CE8" w:rsidRPr="00682CE8" w:rsidRDefault="00682CE8" w:rsidP="00682CE8">
      <w:pPr>
        <w:numPr>
          <w:ilvl w:val="2"/>
          <w:numId w:val="5"/>
        </w:numPr>
        <w:spacing w:before="120" w:after="120"/>
        <w:jc w:val="both"/>
        <w:rPr>
          <w:b/>
          <w:i/>
        </w:rPr>
      </w:pPr>
      <w:r w:rsidRPr="00682CE8">
        <w:rPr>
          <w:b/>
          <w:i/>
        </w:rPr>
        <w:t xml:space="preserve">Покрытие </w:t>
      </w:r>
      <w:proofErr w:type="spellStart"/>
      <w:r w:rsidRPr="00682CE8">
        <w:rPr>
          <w:b/>
          <w:i/>
        </w:rPr>
        <w:t>внеоборотных</w:t>
      </w:r>
      <w:proofErr w:type="spellEnd"/>
      <w:r w:rsidRPr="00682CE8">
        <w:rPr>
          <w:b/>
          <w:i/>
        </w:rPr>
        <w:t xml:space="preserve"> активов долгосрочными источниками финансирования</w:t>
      </w:r>
    </w:p>
    <w:p w:rsidR="00682CE8" w:rsidRPr="00682CE8" w:rsidRDefault="00682CE8" w:rsidP="00682CE8">
      <w:pPr>
        <w:spacing w:before="120" w:after="120"/>
        <w:ind w:left="1134"/>
        <w:jc w:val="both"/>
      </w:pPr>
      <w:r w:rsidRPr="00682CE8">
        <w:t xml:space="preserve">Коэффициент покрытия </w:t>
      </w:r>
      <w:proofErr w:type="spellStart"/>
      <w:r w:rsidRPr="00682CE8">
        <w:t>внеоборотных</w:t>
      </w:r>
      <w:proofErr w:type="spellEnd"/>
      <w:r w:rsidRPr="00682CE8">
        <w:t xml:space="preserve"> активов собственным капиталом  и долгосрочными обязательствами – отражает, в какой степени </w:t>
      </w:r>
      <w:proofErr w:type="spellStart"/>
      <w:r w:rsidRPr="00682CE8">
        <w:t>внеоборотные</w:t>
      </w:r>
      <w:proofErr w:type="spellEnd"/>
      <w:r w:rsidRPr="00682CE8">
        <w:t xml:space="preserve"> активы предприятия финансируются долгосрочным капиталом (заемным и собственным). Коэффициент оценивает ликвидность баланса компании</w:t>
      </w:r>
    </w:p>
    <w:p w:rsidR="00682CE8" w:rsidRPr="00682CE8" w:rsidRDefault="00682CE8" w:rsidP="00682CE8">
      <w:pPr>
        <w:spacing w:before="120" w:after="120"/>
        <w:ind w:left="1134"/>
        <w:jc w:val="both"/>
      </w:pPr>
      <w:r w:rsidRPr="00682CE8">
        <w:rPr>
          <w:position w:val="-30"/>
        </w:rPr>
        <w:object w:dxaOrig="5940" w:dyaOrig="680">
          <v:shape id="_x0000_i1031" type="#_x0000_t75" style="width:297pt;height:33.75pt" o:ole="">
            <v:imagedata r:id="rId21" o:title=""/>
          </v:shape>
          <o:OLEObject Type="Embed" ProgID="Equation.3" ShapeID="_x0000_i1031" DrawAspect="Content" ObjectID="_1525005803" r:id="rId22"/>
        </w:object>
      </w:r>
    </w:p>
    <w:p w:rsidR="00682CE8" w:rsidRPr="00682CE8" w:rsidRDefault="00682CE8" w:rsidP="00682CE8">
      <w:pPr>
        <w:jc w:val="right"/>
      </w:pPr>
      <w:r w:rsidRPr="00682CE8">
        <w:t>Таблица перевода значений финансовых показателей в баллы по шкале от 0 до 1</w:t>
      </w:r>
    </w:p>
    <w:p w:rsidR="00682CE8" w:rsidRPr="00682CE8" w:rsidRDefault="00682CE8" w:rsidP="00682CE8">
      <w:pPr>
        <w:jc w:val="right"/>
      </w:pPr>
    </w:p>
    <w:tbl>
      <w:tblPr>
        <w:tblW w:w="9229" w:type="dxa"/>
        <w:tblInd w:w="93" w:type="dxa"/>
        <w:tblLayout w:type="fixed"/>
        <w:tblLook w:val="04A0" w:firstRow="1" w:lastRow="0" w:firstColumn="1" w:lastColumn="0" w:noHBand="0" w:noVBand="1"/>
      </w:tblPr>
      <w:tblGrid>
        <w:gridCol w:w="1832"/>
        <w:gridCol w:w="841"/>
        <w:gridCol w:w="634"/>
        <w:gridCol w:w="634"/>
        <w:gridCol w:w="634"/>
        <w:gridCol w:w="634"/>
        <w:gridCol w:w="634"/>
        <w:gridCol w:w="634"/>
        <w:gridCol w:w="634"/>
        <w:gridCol w:w="634"/>
        <w:gridCol w:w="634"/>
        <w:gridCol w:w="850"/>
      </w:tblGrid>
      <w:tr w:rsidR="00682CE8" w:rsidRPr="00682CE8" w:rsidTr="002522AC">
        <w:trPr>
          <w:trHeight w:val="300"/>
        </w:trPr>
        <w:tc>
          <w:tcPr>
            <w:tcW w:w="1832"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682CE8" w:rsidRPr="00682CE8" w:rsidRDefault="00682CE8" w:rsidP="002522AC">
            <w:pPr>
              <w:rPr>
                <w:color w:val="000000"/>
              </w:rPr>
            </w:pPr>
            <w:r w:rsidRPr="00682CE8">
              <w:rPr>
                <w:color w:val="000000"/>
                <w:sz w:val="22"/>
                <w:szCs w:val="22"/>
              </w:rPr>
              <w:t>Оценка</w:t>
            </w:r>
          </w:p>
          <w:p w:rsidR="00682CE8" w:rsidRPr="00682CE8" w:rsidRDefault="00682CE8" w:rsidP="002522AC">
            <w:pPr>
              <w:rPr>
                <w:color w:val="000000"/>
              </w:rPr>
            </w:pPr>
            <w:r w:rsidRPr="00682CE8">
              <w:rPr>
                <w:color w:val="000000"/>
                <w:sz w:val="22"/>
                <w:szCs w:val="22"/>
              </w:rPr>
              <w:t>(мин 0 - макс 1)</w:t>
            </w:r>
          </w:p>
        </w:tc>
        <w:tc>
          <w:tcPr>
            <w:tcW w:w="841"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0,0</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0,1</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0,2</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0,3</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0,4</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0,5</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0,6</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0,7</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0,8</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1,0</w:t>
            </w:r>
          </w:p>
        </w:tc>
      </w:tr>
      <w:tr w:rsidR="00682CE8" w:rsidRPr="00682CE8" w:rsidTr="002522AC">
        <w:trPr>
          <w:trHeight w:val="600"/>
        </w:trPr>
        <w:tc>
          <w:tcPr>
            <w:tcW w:w="1832"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 xml:space="preserve">Абсолютная ликвидность </w:t>
            </w:r>
          </w:p>
        </w:tc>
        <w:tc>
          <w:tcPr>
            <w:tcW w:w="84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менее 0,02</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0,03</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0,04</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0,05</w:t>
            </w:r>
          </w:p>
        </w:tc>
        <w:tc>
          <w:tcPr>
            <w:tcW w:w="634"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0,06</w:t>
            </w:r>
          </w:p>
        </w:tc>
        <w:tc>
          <w:tcPr>
            <w:tcW w:w="634"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0,07</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0,09</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0,1</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0,13</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0,17</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более 0,2</w:t>
            </w:r>
          </w:p>
        </w:tc>
      </w:tr>
      <w:tr w:rsidR="00682CE8" w:rsidRPr="00682CE8" w:rsidTr="002522AC">
        <w:trPr>
          <w:trHeight w:val="1500"/>
        </w:trPr>
        <w:tc>
          <w:tcPr>
            <w:tcW w:w="1832"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lastRenderedPageBreak/>
              <w:t xml:space="preserve">Покрытие </w:t>
            </w:r>
            <w:proofErr w:type="spellStart"/>
            <w:r w:rsidRPr="00682CE8">
              <w:rPr>
                <w:color w:val="000000"/>
                <w:sz w:val="20"/>
                <w:szCs w:val="20"/>
              </w:rPr>
              <w:t>внеоборотных</w:t>
            </w:r>
            <w:proofErr w:type="spellEnd"/>
            <w:r w:rsidRPr="00682CE8">
              <w:rPr>
                <w:color w:val="000000"/>
                <w:sz w:val="20"/>
                <w:szCs w:val="20"/>
              </w:rPr>
              <w:t xml:space="preserve">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более 1,8</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1,7</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1,6</w:t>
            </w:r>
          </w:p>
        </w:tc>
        <w:tc>
          <w:tcPr>
            <w:tcW w:w="634"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1,5</w:t>
            </w:r>
          </w:p>
        </w:tc>
        <w:tc>
          <w:tcPr>
            <w:tcW w:w="634"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1,4</w:t>
            </w:r>
          </w:p>
        </w:tc>
        <w:tc>
          <w:tcPr>
            <w:tcW w:w="634"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1,3</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1,2</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1,1</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1</w:t>
            </w:r>
          </w:p>
        </w:tc>
        <w:tc>
          <w:tcPr>
            <w:tcW w:w="634"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0,9</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менее 0,8</w:t>
            </w:r>
          </w:p>
        </w:tc>
      </w:tr>
    </w:tbl>
    <w:p w:rsidR="00682CE8" w:rsidRPr="00682CE8" w:rsidRDefault="00682CE8" w:rsidP="00682CE8">
      <w:pPr>
        <w:spacing w:before="120" w:after="120"/>
        <w:ind w:left="1134"/>
        <w:jc w:val="both"/>
      </w:pPr>
    </w:p>
    <w:p w:rsidR="00682CE8" w:rsidRPr="00682CE8" w:rsidRDefault="00682CE8" w:rsidP="00682CE8">
      <w:pPr>
        <w:pStyle w:val="1"/>
        <w:numPr>
          <w:ilvl w:val="0"/>
          <w:numId w:val="5"/>
        </w:numPr>
        <w:tabs>
          <w:tab w:val="left" w:pos="540"/>
        </w:tabs>
        <w:ind w:left="540" w:hanging="540"/>
        <w:rPr>
          <w:rFonts w:ascii="Times New Roman" w:hAnsi="Times New Roman" w:cs="Times New Roman"/>
          <w:sz w:val="24"/>
          <w:szCs w:val="24"/>
        </w:rPr>
      </w:pPr>
      <w:bookmarkStart w:id="63" w:name="_Toc326066016"/>
      <w:bookmarkStart w:id="64" w:name="_Toc326066286"/>
      <w:bookmarkStart w:id="65" w:name="_Toc326067317"/>
      <w:bookmarkStart w:id="66" w:name="_Toc326077652"/>
      <w:bookmarkStart w:id="67" w:name="_Toc322961181"/>
      <w:r w:rsidRPr="00682CE8">
        <w:rPr>
          <w:rFonts w:ascii="Times New Roman" w:hAnsi="Times New Roman" w:cs="Times New Roman"/>
          <w:sz w:val="24"/>
          <w:szCs w:val="24"/>
        </w:rPr>
        <w:t>Группа показателей бизнес-риска</w:t>
      </w:r>
      <w:bookmarkEnd w:id="63"/>
      <w:bookmarkEnd w:id="64"/>
      <w:bookmarkEnd w:id="65"/>
      <w:bookmarkEnd w:id="66"/>
      <w:bookmarkEnd w:id="67"/>
    </w:p>
    <w:p w:rsidR="00682CE8" w:rsidRPr="00682CE8" w:rsidRDefault="00682CE8" w:rsidP="00682CE8">
      <w:pPr>
        <w:numPr>
          <w:ilvl w:val="1"/>
          <w:numId w:val="5"/>
        </w:numPr>
        <w:spacing w:before="120" w:after="120"/>
        <w:jc w:val="both"/>
        <w:rPr>
          <w:b/>
        </w:rPr>
      </w:pPr>
      <w:r w:rsidRPr="00682CE8">
        <w:rPr>
          <w:b/>
        </w:rPr>
        <w:t>Соответствие масштабов деятельности участника закупочной процедуры сумме закупки (в сравнении с активами, с выручкой)</w:t>
      </w:r>
    </w:p>
    <w:p w:rsidR="00682CE8" w:rsidRPr="00682CE8" w:rsidRDefault="00682CE8" w:rsidP="00682CE8">
      <w:pPr>
        <w:spacing w:before="120" w:after="120"/>
        <w:ind w:left="426"/>
        <w:jc w:val="both"/>
      </w:pPr>
      <w:r w:rsidRPr="00682CE8">
        <w:t>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компаний,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компании, имеющие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rsidR="00682CE8" w:rsidRPr="00682CE8" w:rsidRDefault="00682CE8" w:rsidP="00682CE8">
      <w:pPr>
        <w:spacing w:before="120" w:after="120"/>
        <w:ind w:left="426"/>
        <w:jc w:val="right"/>
      </w:pPr>
      <w:r w:rsidRPr="00682CE8">
        <w:t>Таблица перевода значений показателей в баллы по шкале от 0 до 1</w:t>
      </w:r>
    </w:p>
    <w:tbl>
      <w:tblPr>
        <w:tblW w:w="9229" w:type="dxa"/>
        <w:tblInd w:w="93" w:type="dxa"/>
        <w:tblLayout w:type="fixed"/>
        <w:tblLook w:val="04A0" w:firstRow="1" w:lastRow="0" w:firstColumn="1" w:lastColumn="0" w:noHBand="0" w:noVBand="1"/>
      </w:tblPr>
      <w:tblGrid>
        <w:gridCol w:w="1858"/>
        <w:gridCol w:w="851"/>
        <w:gridCol w:w="630"/>
        <w:gridCol w:w="630"/>
        <w:gridCol w:w="630"/>
        <w:gridCol w:w="630"/>
        <w:gridCol w:w="630"/>
        <w:gridCol w:w="630"/>
        <w:gridCol w:w="630"/>
        <w:gridCol w:w="630"/>
        <w:gridCol w:w="630"/>
        <w:gridCol w:w="850"/>
      </w:tblGrid>
      <w:tr w:rsidR="00682CE8" w:rsidRPr="00682CE8" w:rsidTr="002522AC">
        <w:trPr>
          <w:trHeight w:val="300"/>
        </w:trPr>
        <w:tc>
          <w:tcPr>
            <w:tcW w:w="1858" w:type="dxa"/>
            <w:tcBorders>
              <w:top w:val="single" w:sz="4" w:space="0" w:color="auto"/>
              <w:left w:val="single" w:sz="4" w:space="0" w:color="auto"/>
              <w:bottom w:val="single" w:sz="4" w:space="0" w:color="auto"/>
              <w:right w:val="single" w:sz="4" w:space="0" w:color="auto"/>
            </w:tcBorders>
            <w:shd w:val="clear" w:color="000000" w:fill="F2F2F2"/>
            <w:noWrap/>
            <w:vAlign w:val="center"/>
          </w:tcPr>
          <w:p w:rsidR="00682CE8" w:rsidRPr="00682CE8" w:rsidRDefault="00682CE8" w:rsidP="002522AC">
            <w:pPr>
              <w:rPr>
                <w:color w:val="000000"/>
              </w:rPr>
            </w:pPr>
            <w:r w:rsidRPr="00682CE8">
              <w:rPr>
                <w:color w:val="000000"/>
                <w:sz w:val="22"/>
                <w:szCs w:val="22"/>
              </w:rPr>
              <w:t>Оценка</w:t>
            </w:r>
          </w:p>
          <w:p w:rsidR="00682CE8" w:rsidRPr="00682CE8" w:rsidRDefault="00682CE8" w:rsidP="002522AC">
            <w:pPr>
              <w:rPr>
                <w:color w:val="000000"/>
              </w:rPr>
            </w:pPr>
            <w:r w:rsidRPr="00682CE8">
              <w:rPr>
                <w:color w:val="000000"/>
                <w:sz w:val="22"/>
                <w:szCs w:val="22"/>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rsidR="00682CE8" w:rsidRPr="00682CE8" w:rsidRDefault="00682CE8" w:rsidP="002522AC">
            <w:pPr>
              <w:jc w:val="center"/>
              <w:rPr>
                <w:color w:val="000000"/>
              </w:rPr>
            </w:pPr>
            <w:r w:rsidRPr="00682CE8">
              <w:rPr>
                <w:color w:val="000000"/>
                <w:sz w:val="22"/>
                <w:szCs w:val="22"/>
              </w:rPr>
              <w:t>1,0</w:t>
            </w:r>
          </w:p>
        </w:tc>
      </w:tr>
      <w:tr w:rsidR="00682CE8" w:rsidRPr="00682CE8" w:rsidTr="002522AC">
        <w:trPr>
          <w:trHeight w:val="795"/>
        </w:trPr>
        <w:tc>
          <w:tcPr>
            <w:tcW w:w="1858"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Сумма закупки / Годовая выручка</w:t>
            </w:r>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 xml:space="preserve">более </w:t>
            </w:r>
            <w:r w:rsidRPr="00682CE8">
              <w:rPr>
                <w:color w:val="000000"/>
                <w:sz w:val="20"/>
                <w:szCs w:val="20"/>
                <w:lang w:val="en-US"/>
              </w:rPr>
              <w:t>1.4</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1.2</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1</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0.8</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lang w:val="en-US"/>
              </w:rPr>
              <w:t>0.6</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lang w:val="en-US"/>
              </w:rPr>
              <w:t>0.46</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lang w:val="en-US"/>
              </w:rPr>
              <w:t>0.33</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0,2</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0,15</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0,1</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 xml:space="preserve">менее </w:t>
            </w:r>
            <w:r w:rsidRPr="00682CE8">
              <w:rPr>
                <w:color w:val="000000"/>
                <w:sz w:val="20"/>
                <w:szCs w:val="20"/>
                <w:lang w:val="en-US"/>
              </w:rPr>
              <w:t>0.05</w:t>
            </w:r>
          </w:p>
        </w:tc>
      </w:tr>
      <w:tr w:rsidR="00682CE8" w:rsidRPr="00682CE8" w:rsidTr="002522AC">
        <w:trPr>
          <w:trHeight w:val="795"/>
        </w:trPr>
        <w:tc>
          <w:tcPr>
            <w:tcW w:w="1858" w:type="dxa"/>
            <w:tcBorders>
              <w:top w:val="nil"/>
              <w:left w:val="single" w:sz="4" w:space="0" w:color="auto"/>
              <w:bottom w:val="single" w:sz="4" w:space="0" w:color="auto"/>
              <w:right w:val="single" w:sz="4" w:space="0" w:color="auto"/>
            </w:tcBorders>
            <w:shd w:val="clear" w:color="auto" w:fill="auto"/>
            <w:vAlign w:val="center"/>
          </w:tcPr>
          <w:p w:rsidR="00682CE8" w:rsidRPr="00682CE8" w:rsidRDefault="00682CE8" w:rsidP="002522AC">
            <w:pPr>
              <w:rPr>
                <w:color w:val="000000"/>
                <w:sz w:val="20"/>
                <w:szCs w:val="20"/>
              </w:rPr>
            </w:pPr>
            <w:r w:rsidRPr="00682CE8">
              <w:rPr>
                <w:color w:val="000000"/>
                <w:sz w:val="20"/>
                <w:szCs w:val="20"/>
              </w:rPr>
              <w:t>Сумма закупки / Активы</w:t>
            </w:r>
          </w:p>
        </w:tc>
        <w:tc>
          <w:tcPr>
            <w:tcW w:w="851" w:type="dxa"/>
            <w:tcBorders>
              <w:top w:val="nil"/>
              <w:left w:val="nil"/>
              <w:bottom w:val="single" w:sz="4" w:space="0" w:color="auto"/>
              <w:right w:val="single" w:sz="4" w:space="0" w:color="auto"/>
            </w:tcBorders>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 xml:space="preserve">более </w:t>
            </w:r>
            <w:r w:rsidRPr="00682CE8">
              <w:rPr>
                <w:color w:val="000000"/>
                <w:sz w:val="20"/>
                <w:szCs w:val="20"/>
                <w:lang w:val="en-US"/>
              </w:rPr>
              <w:t>2.8</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2.4</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2</w:t>
            </w:r>
          </w:p>
        </w:tc>
        <w:tc>
          <w:tcPr>
            <w:tcW w:w="630" w:type="dxa"/>
            <w:tcBorders>
              <w:top w:val="nil"/>
              <w:left w:val="nil"/>
              <w:bottom w:val="single" w:sz="4" w:space="0" w:color="auto"/>
              <w:right w:val="single" w:sz="4" w:space="0" w:color="auto"/>
            </w:tcBorders>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lang w:val="en-US"/>
              </w:rPr>
              <w:t>1.6</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lang w:val="en-US"/>
              </w:rPr>
              <w:t>1.2</w:t>
            </w:r>
          </w:p>
        </w:tc>
        <w:tc>
          <w:tcPr>
            <w:tcW w:w="630" w:type="dxa"/>
            <w:tcBorders>
              <w:top w:val="nil"/>
              <w:left w:val="nil"/>
              <w:bottom w:val="single" w:sz="4" w:space="0" w:color="auto"/>
              <w:right w:val="single" w:sz="4" w:space="0" w:color="auto"/>
            </w:tcBorders>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lang w:val="en-US"/>
              </w:rPr>
              <w:t>0.92</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lang w:val="en-US"/>
              </w:rPr>
              <w:t>0.66</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0,4</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0,3</w:t>
            </w:r>
          </w:p>
        </w:tc>
        <w:tc>
          <w:tcPr>
            <w:tcW w:w="630" w:type="dxa"/>
            <w:tcBorders>
              <w:top w:val="nil"/>
              <w:left w:val="nil"/>
              <w:bottom w:val="single" w:sz="4" w:space="0" w:color="auto"/>
              <w:right w:val="single" w:sz="4" w:space="0" w:color="auto"/>
            </w:tcBorders>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0,2</w:t>
            </w:r>
          </w:p>
        </w:tc>
        <w:tc>
          <w:tcPr>
            <w:tcW w:w="850" w:type="dxa"/>
            <w:tcBorders>
              <w:top w:val="nil"/>
              <w:left w:val="nil"/>
              <w:bottom w:val="single" w:sz="4" w:space="0" w:color="auto"/>
              <w:right w:val="single" w:sz="4" w:space="0" w:color="auto"/>
            </w:tcBorders>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 xml:space="preserve">менее </w:t>
            </w:r>
            <w:r w:rsidRPr="00682CE8">
              <w:rPr>
                <w:color w:val="000000"/>
                <w:sz w:val="20"/>
                <w:szCs w:val="20"/>
                <w:lang w:val="en-US"/>
              </w:rPr>
              <w:t>0.1</w:t>
            </w:r>
          </w:p>
        </w:tc>
      </w:tr>
    </w:tbl>
    <w:p w:rsidR="00682CE8" w:rsidRPr="00682CE8" w:rsidRDefault="00682CE8" w:rsidP="00682CE8">
      <w:pPr>
        <w:spacing w:before="120" w:after="120"/>
        <w:jc w:val="both"/>
      </w:pPr>
    </w:p>
    <w:p w:rsidR="00682CE8" w:rsidRPr="00682CE8" w:rsidRDefault="00682CE8" w:rsidP="00682CE8">
      <w:pPr>
        <w:numPr>
          <w:ilvl w:val="1"/>
          <w:numId w:val="5"/>
        </w:numPr>
        <w:spacing w:before="120" w:after="120"/>
        <w:jc w:val="both"/>
        <w:rPr>
          <w:b/>
        </w:rPr>
      </w:pPr>
      <w:r w:rsidRPr="00682CE8">
        <w:rPr>
          <w:b/>
        </w:rPr>
        <w:t>Оценка соответствия участника минимальным качественным требованиям в рамках финансово-экономической экспертизы</w:t>
      </w:r>
    </w:p>
    <w:p w:rsidR="00682CE8" w:rsidRPr="00682CE8" w:rsidRDefault="00682CE8" w:rsidP="00682CE8">
      <w:pPr>
        <w:spacing w:before="120" w:after="120"/>
        <w:ind w:left="426"/>
        <w:jc w:val="both"/>
      </w:pPr>
      <w:r w:rsidRPr="00682CE8">
        <w:t>Помимо обязательной справки о перечне и объемах выполнения аналогичных договоров, предоставляемой участниками,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компания имеет продолжительную историю существования, достаточную численность персонала и при этом ее основной вид деятельности соответствует предмету закупки, в таком случае делается вывод о ее потенциальной способности осуществить необходимую поставку или оказать услугу.</w:t>
      </w:r>
    </w:p>
    <w:p w:rsidR="00682CE8" w:rsidRPr="00682CE8" w:rsidRDefault="00682CE8" w:rsidP="00682CE8">
      <w:pPr>
        <w:spacing w:before="120" w:after="120"/>
        <w:ind w:left="426"/>
        <w:jc w:val="both"/>
      </w:pPr>
      <w:r w:rsidRPr="00682CE8">
        <w:t xml:space="preserve">Будучи формализована в численном выражении оценка по критерию «срок существования компании»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w:t>
      </w:r>
      <w:r w:rsidRPr="00682CE8">
        <w:lastRenderedPageBreak/>
        <w:t>формировании итоговой оценки по направлению финансово-экономической экспертизы.</w:t>
      </w:r>
    </w:p>
    <w:p w:rsidR="00682CE8" w:rsidRPr="00682CE8" w:rsidRDefault="00682CE8" w:rsidP="00682CE8">
      <w:pPr>
        <w:spacing w:before="120" w:after="120"/>
        <w:ind w:left="426"/>
        <w:jc w:val="right"/>
      </w:pPr>
      <w:r w:rsidRPr="00682CE8">
        <w:t>Таблица перевода показателей в баллы по шкале от 0 до 1</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8"/>
        <w:gridCol w:w="851"/>
        <w:gridCol w:w="567"/>
        <w:gridCol w:w="567"/>
        <w:gridCol w:w="567"/>
        <w:gridCol w:w="567"/>
        <w:gridCol w:w="614"/>
        <w:gridCol w:w="614"/>
        <w:gridCol w:w="614"/>
        <w:gridCol w:w="780"/>
        <w:gridCol w:w="780"/>
        <w:gridCol w:w="850"/>
      </w:tblGrid>
      <w:tr w:rsidR="00682CE8" w:rsidRPr="00682CE8" w:rsidTr="002522AC">
        <w:trPr>
          <w:trHeight w:val="300"/>
        </w:trPr>
        <w:tc>
          <w:tcPr>
            <w:tcW w:w="1858" w:type="dxa"/>
            <w:shd w:val="clear" w:color="000000" w:fill="F2F2F2"/>
            <w:noWrap/>
            <w:vAlign w:val="bottom"/>
          </w:tcPr>
          <w:p w:rsidR="00682CE8" w:rsidRPr="00682CE8" w:rsidRDefault="00682CE8" w:rsidP="002522AC">
            <w:pPr>
              <w:rPr>
                <w:color w:val="000000"/>
              </w:rPr>
            </w:pPr>
            <w:r w:rsidRPr="00682CE8">
              <w:rPr>
                <w:color w:val="000000"/>
                <w:sz w:val="22"/>
                <w:szCs w:val="22"/>
              </w:rPr>
              <w:t>Оценка</w:t>
            </w:r>
          </w:p>
          <w:p w:rsidR="00682CE8" w:rsidRPr="00682CE8" w:rsidRDefault="00682CE8" w:rsidP="002522AC">
            <w:pPr>
              <w:rPr>
                <w:color w:val="000000"/>
              </w:rPr>
            </w:pPr>
            <w:r w:rsidRPr="00682CE8">
              <w:rPr>
                <w:color w:val="000000"/>
                <w:sz w:val="22"/>
                <w:szCs w:val="22"/>
              </w:rPr>
              <w:t>(мин 0 - макс 1)</w:t>
            </w:r>
          </w:p>
        </w:tc>
        <w:tc>
          <w:tcPr>
            <w:tcW w:w="851"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0,0</w:t>
            </w:r>
          </w:p>
        </w:tc>
        <w:tc>
          <w:tcPr>
            <w:tcW w:w="567"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0,1</w:t>
            </w:r>
          </w:p>
        </w:tc>
        <w:tc>
          <w:tcPr>
            <w:tcW w:w="567"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0,2</w:t>
            </w:r>
          </w:p>
        </w:tc>
        <w:tc>
          <w:tcPr>
            <w:tcW w:w="567"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0,3</w:t>
            </w:r>
          </w:p>
        </w:tc>
        <w:tc>
          <w:tcPr>
            <w:tcW w:w="567"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0,4</w:t>
            </w:r>
          </w:p>
        </w:tc>
        <w:tc>
          <w:tcPr>
            <w:tcW w:w="614"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0,5</w:t>
            </w:r>
          </w:p>
        </w:tc>
        <w:tc>
          <w:tcPr>
            <w:tcW w:w="614"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0,6</w:t>
            </w:r>
          </w:p>
        </w:tc>
        <w:tc>
          <w:tcPr>
            <w:tcW w:w="614"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0,7</w:t>
            </w:r>
          </w:p>
        </w:tc>
        <w:tc>
          <w:tcPr>
            <w:tcW w:w="780"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0,8</w:t>
            </w:r>
          </w:p>
        </w:tc>
        <w:tc>
          <w:tcPr>
            <w:tcW w:w="780"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0,9</w:t>
            </w:r>
          </w:p>
        </w:tc>
        <w:tc>
          <w:tcPr>
            <w:tcW w:w="850" w:type="dxa"/>
            <w:shd w:val="clear" w:color="000000" w:fill="F2F2F2"/>
            <w:noWrap/>
            <w:vAlign w:val="center"/>
          </w:tcPr>
          <w:p w:rsidR="00682CE8" w:rsidRPr="00682CE8" w:rsidRDefault="00682CE8" w:rsidP="002522AC">
            <w:pPr>
              <w:jc w:val="center"/>
              <w:rPr>
                <w:color w:val="000000"/>
              </w:rPr>
            </w:pPr>
            <w:r w:rsidRPr="00682CE8">
              <w:rPr>
                <w:color w:val="000000"/>
                <w:sz w:val="22"/>
                <w:szCs w:val="22"/>
              </w:rPr>
              <w:t>1,0</w:t>
            </w:r>
          </w:p>
        </w:tc>
      </w:tr>
      <w:tr w:rsidR="00682CE8" w:rsidRPr="00682CE8" w:rsidTr="002522AC">
        <w:trPr>
          <w:trHeight w:val="600"/>
        </w:trPr>
        <w:tc>
          <w:tcPr>
            <w:tcW w:w="1858" w:type="dxa"/>
            <w:shd w:val="clear" w:color="auto" w:fill="auto"/>
          </w:tcPr>
          <w:p w:rsidR="00682CE8" w:rsidRPr="00682CE8" w:rsidRDefault="00682CE8" w:rsidP="002522AC">
            <w:pPr>
              <w:rPr>
                <w:color w:val="000000"/>
                <w:sz w:val="20"/>
                <w:szCs w:val="20"/>
              </w:rPr>
            </w:pPr>
            <w:r w:rsidRPr="00682CE8">
              <w:rPr>
                <w:color w:val="000000"/>
                <w:sz w:val="20"/>
                <w:szCs w:val="20"/>
              </w:rPr>
              <w:t>срок существования компании, лет</w:t>
            </w:r>
          </w:p>
        </w:tc>
        <w:tc>
          <w:tcPr>
            <w:tcW w:w="851" w:type="dxa"/>
            <w:shd w:val="clear" w:color="000000" w:fill="FFE5E5"/>
            <w:vAlign w:val="center"/>
          </w:tcPr>
          <w:p w:rsidR="00682CE8" w:rsidRPr="00682CE8" w:rsidRDefault="00682CE8" w:rsidP="002522AC">
            <w:pPr>
              <w:jc w:val="center"/>
              <w:rPr>
                <w:color w:val="000000"/>
                <w:sz w:val="20"/>
                <w:szCs w:val="20"/>
              </w:rPr>
            </w:pPr>
            <w:r w:rsidRPr="00682CE8">
              <w:rPr>
                <w:color w:val="000000"/>
                <w:sz w:val="20"/>
                <w:szCs w:val="20"/>
              </w:rPr>
              <w:t>менее 1 года</w:t>
            </w:r>
          </w:p>
        </w:tc>
        <w:tc>
          <w:tcPr>
            <w:tcW w:w="567" w:type="dxa"/>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1,4</w:t>
            </w:r>
          </w:p>
        </w:tc>
        <w:tc>
          <w:tcPr>
            <w:tcW w:w="567" w:type="dxa"/>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1,8</w:t>
            </w:r>
          </w:p>
        </w:tc>
        <w:tc>
          <w:tcPr>
            <w:tcW w:w="567" w:type="dxa"/>
            <w:shd w:val="clear" w:color="000000" w:fill="FFE5E5"/>
            <w:noWrap/>
            <w:vAlign w:val="center"/>
          </w:tcPr>
          <w:p w:rsidR="00682CE8" w:rsidRPr="00682CE8" w:rsidRDefault="00682CE8" w:rsidP="002522AC">
            <w:pPr>
              <w:jc w:val="center"/>
              <w:rPr>
                <w:color w:val="000000"/>
                <w:sz w:val="20"/>
                <w:szCs w:val="20"/>
              </w:rPr>
            </w:pPr>
            <w:r w:rsidRPr="00682CE8">
              <w:rPr>
                <w:color w:val="000000"/>
                <w:sz w:val="20"/>
                <w:szCs w:val="20"/>
              </w:rPr>
              <w:t>2,2</w:t>
            </w:r>
          </w:p>
        </w:tc>
        <w:tc>
          <w:tcPr>
            <w:tcW w:w="567" w:type="dxa"/>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2,6</w:t>
            </w:r>
          </w:p>
        </w:tc>
        <w:tc>
          <w:tcPr>
            <w:tcW w:w="614" w:type="dxa"/>
            <w:shd w:val="clear" w:color="000000" w:fill="F8FFB9"/>
            <w:noWrap/>
            <w:vAlign w:val="center"/>
          </w:tcPr>
          <w:p w:rsidR="00682CE8" w:rsidRPr="00682CE8" w:rsidRDefault="00682CE8" w:rsidP="002522AC">
            <w:pPr>
              <w:jc w:val="center"/>
              <w:rPr>
                <w:color w:val="000000"/>
                <w:sz w:val="20"/>
                <w:szCs w:val="20"/>
              </w:rPr>
            </w:pPr>
            <w:r w:rsidRPr="00682CE8">
              <w:rPr>
                <w:color w:val="000000"/>
                <w:sz w:val="20"/>
                <w:szCs w:val="20"/>
              </w:rPr>
              <w:t>3</w:t>
            </w:r>
          </w:p>
        </w:tc>
        <w:tc>
          <w:tcPr>
            <w:tcW w:w="614" w:type="dxa"/>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4,4</w:t>
            </w:r>
          </w:p>
        </w:tc>
        <w:tc>
          <w:tcPr>
            <w:tcW w:w="614" w:type="dxa"/>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5,8</w:t>
            </w:r>
          </w:p>
        </w:tc>
        <w:tc>
          <w:tcPr>
            <w:tcW w:w="780" w:type="dxa"/>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7,2</w:t>
            </w:r>
          </w:p>
        </w:tc>
        <w:tc>
          <w:tcPr>
            <w:tcW w:w="780" w:type="dxa"/>
            <w:shd w:val="clear" w:color="000000" w:fill="C6FED1"/>
            <w:noWrap/>
            <w:vAlign w:val="center"/>
          </w:tcPr>
          <w:p w:rsidR="00682CE8" w:rsidRPr="00682CE8" w:rsidRDefault="00682CE8" w:rsidP="002522AC">
            <w:pPr>
              <w:jc w:val="center"/>
              <w:rPr>
                <w:color w:val="000000"/>
                <w:sz w:val="20"/>
                <w:szCs w:val="20"/>
              </w:rPr>
            </w:pPr>
            <w:r w:rsidRPr="00682CE8">
              <w:rPr>
                <w:color w:val="000000"/>
                <w:sz w:val="20"/>
                <w:szCs w:val="20"/>
              </w:rPr>
              <w:t>8,6</w:t>
            </w:r>
          </w:p>
        </w:tc>
        <w:tc>
          <w:tcPr>
            <w:tcW w:w="850" w:type="dxa"/>
            <w:shd w:val="clear" w:color="000000" w:fill="C6FED1"/>
            <w:vAlign w:val="center"/>
          </w:tcPr>
          <w:p w:rsidR="00682CE8" w:rsidRPr="00682CE8" w:rsidRDefault="00682CE8" w:rsidP="002522AC">
            <w:pPr>
              <w:jc w:val="center"/>
              <w:rPr>
                <w:color w:val="000000"/>
                <w:sz w:val="20"/>
                <w:szCs w:val="20"/>
              </w:rPr>
            </w:pPr>
            <w:r w:rsidRPr="00682CE8">
              <w:rPr>
                <w:color w:val="000000"/>
                <w:sz w:val="20"/>
                <w:szCs w:val="20"/>
              </w:rPr>
              <w:t>более 10 лет</w:t>
            </w:r>
          </w:p>
        </w:tc>
      </w:tr>
    </w:tbl>
    <w:p w:rsidR="00682CE8" w:rsidRPr="00682CE8" w:rsidRDefault="00682CE8" w:rsidP="00682CE8">
      <w:pPr>
        <w:jc w:val="both"/>
      </w:pPr>
    </w:p>
    <w:p w:rsidR="00682CE8" w:rsidRPr="00682CE8" w:rsidRDefault="00682CE8" w:rsidP="00682CE8">
      <w:pPr>
        <w:jc w:val="both"/>
      </w:pPr>
    </w:p>
    <w:p w:rsidR="00682CE8" w:rsidRPr="00682CE8" w:rsidRDefault="00682CE8" w:rsidP="00682CE8">
      <w:pPr>
        <w:numPr>
          <w:ilvl w:val="1"/>
          <w:numId w:val="5"/>
        </w:numPr>
        <w:spacing w:before="120" w:after="120"/>
        <w:jc w:val="both"/>
        <w:rPr>
          <w:b/>
        </w:rPr>
      </w:pPr>
      <w:r w:rsidRPr="00682CE8">
        <w:rPr>
          <w:b/>
        </w:rPr>
        <w:t>Финансовые условия сделки</w:t>
      </w:r>
    </w:p>
    <w:p w:rsidR="00682CE8" w:rsidRPr="00682CE8" w:rsidRDefault="00682CE8" w:rsidP="00682CE8">
      <w:pPr>
        <w:spacing w:before="120" w:after="120"/>
        <w:ind w:left="426"/>
        <w:jc w:val="both"/>
      </w:pPr>
      <w:r w:rsidRPr="00682CE8">
        <w:t>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банковской гарантии соответствует наибольшему риску.</w:t>
      </w:r>
    </w:p>
    <w:p w:rsidR="00682CE8" w:rsidRPr="00682CE8" w:rsidRDefault="00682CE8" w:rsidP="00682CE8">
      <w:pPr>
        <w:spacing w:before="120" w:after="120"/>
        <w:ind w:left="426"/>
        <w:jc w:val="both"/>
      </w:pPr>
      <w:r w:rsidRPr="00682CE8">
        <w:t>Оценка по критерию «финансовые условия сделки» осуществляется с учетом соотношения величины планируемого аванса с активами и годовой выручкой оцениваемой компании. Чем меньше величина аванса в масштабах деятельности оцениваемой компании,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rsidR="00682CE8" w:rsidRPr="00682CE8" w:rsidRDefault="00682CE8" w:rsidP="00682CE8">
      <w:pPr>
        <w:spacing w:before="120" w:after="120"/>
        <w:ind w:left="426"/>
        <w:jc w:val="both"/>
      </w:pPr>
      <w:r w:rsidRPr="00682CE8">
        <w:t>В тех случаях, когда отдельными локальными нормативными актами Общества / ДЗО / ВЗО устанавливаются ограничения на принимаемые банковские гарантии в части указания перечня банков, суммы и сроков гарантий, эксперт по направлению финансово-экономической экспертизы проводит оценку соответствия предлагаемой банковской гарантии требованиям указанного локального нормативного акта. А в случае отсутствия на этапе закупочной процедуры информации по банковской гарантии, дает рекомендации по соблюдению требований соответствующего локального нормативного акта.</w:t>
      </w:r>
    </w:p>
    <w:p w:rsidR="00682CE8" w:rsidRPr="00682CE8" w:rsidRDefault="00682CE8" w:rsidP="00682CE8">
      <w:pPr>
        <w:spacing w:before="120" w:after="120"/>
        <w:ind w:left="426"/>
        <w:jc w:val="right"/>
      </w:pPr>
      <w:r w:rsidRPr="00682CE8">
        <w:t>Таблица Оценка финансовых условий сделки</w:t>
      </w:r>
    </w:p>
    <w:tbl>
      <w:tblPr>
        <w:tblW w:w="9229" w:type="dxa"/>
        <w:tblInd w:w="93" w:type="dxa"/>
        <w:tblLook w:val="04A0" w:firstRow="1" w:lastRow="0" w:firstColumn="1" w:lastColumn="0" w:noHBand="0" w:noVBand="1"/>
      </w:tblPr>
      <w:tblGrid>
        <w:gridCol w:w="1858"/>
        <w:gridCol w:w="851"/>
        <w:gridCol w:w="571"/>
        <w:gridCol w:w="571"/>
        <w:gridCol w:w="571"/>
        <w:gridCol w:w="571"/>
        <w:gridCol w:w="571"/>
        <w:gridCol w:w="688"/>
        <w:gridCol w:w="571"/>
        <w:gridCol w:w="705"/>
        <w:gridCol w:w="816"/>
        <w:gridCol w:w="885"/>
      </w:tblGrid>
      <w:tr w:rsidR="00682CE8" w:rsidRPr="00682CE8" w:rsidTr="002522AC">
        <w:trPr>
          <w:trHeight w:val="615"/>
        </w:trPr>
        <w:tc>
          <w:tcPr>
            <w:tcW w:w="1858"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682CE8" w:rsidRPr="00682CE8" w:rsidRDefault="00682CE8" w:rsidP="002522AC">
            <w:pPr>
              <w:rPr>
                <w:color w:val="000000"/>
                <w:sz w:val="20"/>
                <w:szCs w:val="20"/>
              </w:rPr>
            </w:pPr>
            <w:r w:rsidRPr="00682CE8">
              <w:rPr>
                <w:color w:val="000000"/>
                <w:sz w:val="20"/>
                <w:szCs w:val="20"/>
              </w:rPr>
              <w:t>Оценка при отсутствии аванса</w:t>
            </w:r>
          </w:p>
        </w:tc>
        <w:tc>
          <w:tcPr>
            <w:tcW w:w="7371" w:type="dxa"/>
            <w:gridSpan w:val="11"/>
            <w:tcBorders>
              <w:top w:val="single" w:sz="8" w:space="0" w:color="auto"/>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1</w:t>
            </w:r>
          </w:p>
        </w:tc>
      </w:tr>
      <w:tr w:rsidR="00682CE8" w:rsidRPr="00682CE8" w:rsidTr="002522AC">
        <w:trPr>
          <w:trHeight w:val="915"/>
        </w:trPr>
        <w:tc>
          <w:tcPr>
            <w:tcW w:w="1858" w:type="dxa"/>
            <w:tcBorders>
              <w:top w:val="nil"/>
              <w:left w:val="single" w:sz="8" w:space="0" w:color="auto"/>
              <w:bottom w:val="single" w:sz="8" w:space="0" w:color="auto"/>
              <w:right w:val="single" w:sz="8" w:space="0" w:color="auto"/>
            </w:tcBorders>
            <w:shd w:val="clear" w:color="000000" w:fill="F2F2F2"/>
            <w:vAlign w:val="center"/>
            <w:hideMark/>
          </w:tcPr>
          <w:p w:rsidR="00682CE8" w:rsidRPr="00682CE8" w:rsidRDefault="00682CE8" w:rsidP="002522AC">
            <w:pPr>
              <w:rPr>
                <w:color w:val="000000"/>
                <w:sz w:val="20"/>
                <w:szCs w:val="20"/>
              </w:rPr>
            </w:pPr>
            <w:r w:rsidRPr="00682CE8">
              <w:rPr>
                <w:color w:val="000000"/>
                <w:sz w:val="20"/>
                <w:szCs w:val="20"/>
              </w:rPr>
              <w:t>Оценка при полном покрытии аванса банковской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0,4</w:t>
            </w:r>
          </w:p>
        </w:tc>
        <w:tc>
          <w:tcPr>
            <w:tcW w:w="571"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0,46</w:t>
            </w:r>
          </w:p>
        </w:tc>
        <w:tc>
          <w:tcPr>
            <w:tcW w:w="571"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0,52</w:t>
            </w:r>
          </w:p>
        </w:tc>
        <w:tc>
          <w:tcPr>
            <w:tcW w:w="571"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0,58</w:t>
            </w:r>
          </w:p>
        </w:tc>
        <w:tc>
          <w:tcPr>
            <w:tcW w:w="571"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0,64</w:t>
            </w:r>
          </w:p>
        </w:tc>
        <w:tc>
          <w:tcPr>
            <w:tcW w:w="571"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0,7</w:t>
            </w:r>
          </w:p>
        </w:tc>
        <w:tc>
          <w:tcPr>
            <w:tcW w:w="688"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0,76</w:t>
            </w:r>
          </w:p>
        </w:tc>
        <w:tc>
          <w:tcPr>
            <w:tcW w:w="571"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0,82</w:t>
            </w:r>
          </w:p>
        </w:tc>
        <w:tc>
          <w:tcPr>
            <w:tcW w:w="705"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0,88</w:t>
            </w:r>
          </w:p>
        </w:tc>
        <w:tc>
          <w:tcPr>
            <w:tcW w:w="816"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0,94</w:t>
            </w:r>
          </w:p>
        </w:tc>
        <w:tc>
          <w:tcPr>
            <w:tcW w:w="885"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1</w:t>
            </w:r>
          </w:p>
        </w:tc>
      </w:tr>
      <w:tr w:rsidR="00682CE8" w:rsidRPr="00682CE8" w:rsidTr="002522AC">
        <w:trPr>
          <w:trHeight w:val="915"/>
        </w:trPr>
        <w:tc>
          <w:tcPr>
            <w:tcW w:w="1858" w:type="dxa"/>
            <w:tcBorders>
              <w:top w:val="nil"/>
              <w:left w:val="single" w:sz="8" w:space="0" w:color="auto"/>
              <w:bottom w:val="single" w:sz="8" w:space="0" w:color="auto"/>
              <w:right w:val="single" w:sz="8" w:space="0" w:color="auto"/>
            </w:tcBorders>
            <w:shd w:val="clear" w:color="000000" w:fill="F2F2F2"/>
            <w:vAlign w:val="center"/>
            <w:hideMark/>
          </w:tcPr>
          <w:p w:rsidR="00682CE8" w:rsidRPr="00682CE8" w:rsidRDefault="00682CE8" w:rsidP="002522AC">
            <w:pPr>
              <w:rPr>
                <w:color w:val="000000"/>
                <w:sz w:val="20"/>
                <w:szCs w:val="20"/>
              </w:rPr>
            </w:pPr>
            <w:r w:rsidRPr="00682CE8">
              <w:rPr>
                <w:color w:val="000000"/>
                <w:sz w:val="20"/>
                <w:szCs w:val="20"/>
              </w:rPr>
              <w:t>Оценка при выплате аванса без покрытия банковской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w:t>
            </w:r>
          </w:p>
        </w:tc>
        <w:tc>
          <w:tcPr>
            <w:tcW w:w="57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0,07</w:t>
            </w:r>
          </w:p>
        </w:tc>
        <w:tc>
          <w:tcPr>
            <w:tcW w:w="57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0,14</w:t>
            </w:r>
          </w:p>
        </w:tc>
        <w:tc>
          <w:tcPr>
            <w:tcW w:w="57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0,21</w:t>
            </w:r>
          </w:p>
        </w:tc>
        <w:tc>
          <w:tcPr>
            <w:tcW w:w="57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0,28</w:t>
            </w:r>
          </w:p>
        </w:tc>
        <w:tc>
          <w:tcPr>
            <w:tcW w:w="571" w:type="dxa"/>
            <w:tcBorders>
              <w:top w:val="nil"/>
              <w:left w:val="nil"/>
              <w:bottom w:val="single" w:sz="8" w:space="0" w:color="auto"/>
              <w:right w:val="single" w:sz="8" w:space="0" w:color="auto"/>
            </w:tcBorders>
            <w:shd w:val="clear" w:color="000000" w:fill="FFE5E5"/>
            <w:noWrap/>
            <w:vAlign w:val="center"/>
            <w:hideMark/>
          </w:tcPr>
          <w:p w:rsidR="00682CE8" w:rsidRPr="00682CE8" w:rsidRDefault="00682CE8" w:rsidP="002522AC">
            <w:pPr>
              <w:jc w:val="center"/>
              <w:rPr>
                <w:color w:val="000000"/>
                <w:sz w:val="20"/>
                <w:szCs w:val="20"/>
              </w:rPr>
            </w:pPr>
            <w:r w:rsidRPr="00682CE8">
              <w:rPr>
                <w:color w:val="000000"/>
                <w:sz w:val="20"/>
                <w:szCs w:val="20"/>
              </w:rPr>
              <w:t>0,35</w:t>
            </w:r>
          </w:p>
        </w:tc>
        <w:tc>
          <w:tcPr>
            <w:tcW w:w="688"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0,42</w:t>
            </w:r>
          </w:p>
        </w:tc>
        <w:tc>
          <w:tcPr>
            <w:tcW w:w="571"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0,49</w:t>
            </w:r>
          </w:p>
        </w:tc>
        <w:tc>
          <w:tcPr>
            <w:tcW w:w="705" w:type="dxa"/>
            <w:tcBorders>
              <w:top w:val="nil"/>
              <w:left w:val="nil"/>
              <w:bottom w:val="single" w:sz="8" w:space="0" w:color="auto"/>
              <w:right w:val="single" w:sz="8" w:space="0" w:color="auto"/>
            </w:tcBorders>
            <w:shd w:val="clear" w:color="000000" w:fill="F8FFB9"/>
            <w:noWrap/>
            <w:vAlign w:val="center"/>
            <w:hideMark/>
          </w:tcPr>
          <w:p w:rsidR="00682CE8" w:rsidRPr="00682CE8" w:rsidRDefault="00682CE8" w:rsidP="002522AC">
            <w:pPr>
              <w:jc w:val="center"/>
              <w:rPr>
                <w:color w:val="000000"/>
                <w:sz w:val="20"/>
                <w:szCs w:val="20"/>
              </w:rPr>
            </w:pPr>
            <w:r w:rsidRPr="00682CE8">
              <w:rPr>
                <w:color w:val="000000"/>
                <w:sz w:val="20"/>
                <w:szCs w:val="20"/>
              </w:rPr>
              <w:t>0,56</w:t>
            </w:r>
          </w:p>
        </w:tc>
        <w:tc>
          <w:tcPr>
            <w:tcW w:w="816"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0,63</w:t>
            </w:r>
          </w:p>
        </w:tc>
        <w:tc>
          <w:tcPr>
            <w:tcW w:w="885" w:type="dxa"/>
            <w:tcBorders>
              <w:top w:val="nil"/>
              <w:left w:val="nil"/>
              <w:bottom w:val="single" w:sz="8" w:space="0" w:color="auto"/>
              <w:right w:val="single" w:sz="8" w:space="0" w:color="auto"/>
            </w:tcBorders>
            <w:shd w:val="clear" w:color="000000" w:fill="C6FED1"/>
            <w:noWrap/>
            <w:vAlign w:val="center"/>
            <w:hideMark/>
          </w:tcPr>
          <w:p w:rsidR="00682CE8" w:rsidRPr="00682CE8" w:rsidRDefault="00682CE8" w:rsidP="002522AC">
            <w:pPr>
              <w:jc w:val="center"/>
              <w:rPr>
                <w:color w:val="000000"/>
                <w:sz w:val="20"/>
                <w:szCs w:val="20"/>
              </w:rPr>
            </w:pPr>
            <w:r w:rsidRPr="00682CE8">
              <w:rPr>
                <w:color w:val="000000"/>
                <w:sz w:val="20"/>
                <w:szCs w:val="20"/>
              </w:rPr>
              <w:t>0,7</w:t>
            </w:r>
          </w:p>
        </w:tc>
      </w:tr>
      <w:tr w:rsidR="00682CE8" w:rsidRPr="00682CE8" w:rsidTr="002522AC">
        <w:trPr>
          <w:trHeight w:val="525"/>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682CE8" w:rsidRPr="00682CE8" w:rsidRDefault="00682CE8" w:rsidP="002522AC">
            <w:pPr>
              <w:rPr>
                <w:color w:val="000000"/>
                <w:sz w:val="20"/>
                <w:szCs w:val="20"/>
              </w:rPr>
            </w:pPr>
            <w:r w:rsidRPr="00682CE8">
              <w:rPr>
                <w:color w:val="000000"/>
                <w:sz w:val="20"/>
                <w:szCs w:val="20"/>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rsidR="00682CE8" w:rsidRPr="00682CE8" w:rsidRDefault="00682CE8" w:rsidP="002522AC">
            <w:pPr>
              <w:jc w:val="center"/>
              <w:rPr>
                <w:color w:val="000000"/>
                <w:sz w:val="20"/>
                <w:szCs w:val="20"/>
              </w:rPr>
            </w:pPr>
            <w:r w:rsidRPr="00682CE8">
              <w:rPr>
                <w:color w:val="000000"/>
                <w:sz w:val="20"/>
                <w:szCs w:val="20"/>
              </w:rPr>
              <w:t>0,7 и более</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0,5</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0,4</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0,3</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0,16</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0,1</w:t>
            </w:r>
          </w:p>
        </w:tc>
        <w:tc>
          <w:tcPr>
            <w:tcW w:w="705"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0,07</w:t>
            </w:r>
          </w:p>
        </w:tc>
        <w:tc>
          <w:tcPr>
            <w:tcW w:w="816"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0,05</w:t>
            </w:r>
          </w:p>
        </w:tc>
        <w:tc>
          <w:tcPr>
            <w:tcW w:w="885" w:type="dxa"/>
            <w:tcBorders>
              <w:top w:val="nil"/>
              <w:left w:val="nil"/>
              <w:bottom w:val="single" w:sz="8" w:space="0" w:color="auto"/>
              <w:right w:val="single" w:sz="8" w:space="0" w:color="auto"/>
            </w:tcBorders>
            <w:shd w:val="clear" w:color="auto" w:fill="auto"/>
            <w:vAlign w:val="center"/>
            <w:hideMark/>
          </w:tcPr>
          <w:p w:rsidR="00682CE8" w:rsidRPr="00682CE8" w:rsidRDefault="00682CE8" w:rsidP="002522AC">
            <w:pPr>
              <w:jc w:val="center"/>
              <w:rPr>
                <w:color w:val="000000"/>
                <w:sz w:val="20"/>
                <w:szCs w:val="20"/>
              </w:rPr>
            </w:pPr>
            <w:r w:rsidRPr="00682CE8">
              <w:rPr>
                <w:color w:val="000000"/>
                <w:sz w:val="20"/>
                <w:szCs w:val="20"/>
              </w:rPr>
              <w:t>0.025 и менее</w:t>
            </w:r>
          </w:p>
        </w:tc>
      </w:tr>
      <w:tr w:rsidR="00682CE8" w:rsidRPr="00682CE8" w:rsidTr="002522AC">
        <w:trPr>
          <w:trHeight w:val="525"/>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682CE8" w:rsidRPr="00682CE8" w:rsidRDefault="00682CE8" w:rsidP="002522AC">
            <w:pPr>
              <w:rPr>
                <w:color w:val="000000"/>
                <w:sz w:val="20"/>
                <w:szCs w:val="20"/>
              </w:rPr>
            </w:pPr>
            <w:r w:rsidRPr="00682CE8">
              <w:rPr>
                <w:color w:val="000000"/>
                <w:sz w:val="20"/>
                <w:szCs w:val="20"/>
              </w:rPr>
              <w:t>Величина аванса / Активы</w:t>
            </w:r>
          </w:p>
        </w:tc>
        <w:tc>
          <w:tcPr>
            <w:tcW w:w="851" w:type="dxa"/>
            <w:tcBorders>
              <w:top w:val="nil"/>
              <w:left w:val="nil"/>
              <w:bottom w:val="single" w:sz="8" w:space="0" w:color="auto"/>
              <w:right w:val="single" w:sz="8" w:space="0" w:color="auto"/>
            </w:tcBorders>
            <w:shd w:val="clear" w:color="auto" w:fill="auto"/>
            <w:vAlign w:val="center"/>
            <w:hideMark/>
          </w:tcPr>
          <w:p w:rsidR="00682CE8" w:rsidRPr="00682CE8" w:rsidRDefault="00682CE8" w:rsidP="002522AC">
            <w:pPr>
              <w:jc w:val="center"/>
              <w:rPr>
                <w:color w:val="000000"/>
                <w:sz w:val="20"/>
                <w:szCs w:val="20"/>
              </w:rPr>
            </w:pPr>
            <w:r w:rsidRPr="00682CE8">
              <w:rPr>
                <w:color w:val="000000"/>
                <w:sz w:val="20"/>
                <w:szCs w:val="20"/>
              </w:rPr>
              <w:t>1.4 и более</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1,2</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1</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0,8</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0,6</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0,46</w:t>
            </w:r>
          </w:p>
        </w:tc>
        <w:tc>
          <w:tcPr>
            <w:tcW w:w="688"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lang w:val="en-US"/>
              </w:rPr>
              <w:t>0,33</w:t>
            </w:r>
          </w:p>
        </w:tc>
        <w:tc>
          <w:tcPr>
            <w:tcW w:w="571"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0,2</w:t>
            </w:r>
          </w:p>
        </w:tc>
        <w:tc>
          <w:tcPr>
            <w:tcW w:w="705"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0,15</w:t>
            </w:r>
          </w:p>
        </w:tc>
        <w:tc>
          <w:tcPr>
            <w:tcW w:w="816" w:type="dxa"/>
            <w:tcBorders>
              <w:top w:val="nil"/>
              <w:left w:val="nil"/>
              <w:bottom w:val="single" w:sz="8" w:space="0" w:color="auto"/>
              <w:right w:val="single" w:sz="8" w:space="0" w:color="auto"/>
            </w:tcBorders>
            <w:shd w:val="clear" w:color="auto" w:fill="auto"/>
            <w:noWrap/>
            <w:vAlign w:val="center"/>
            <w:hideMark/>
          </w:tcPr>
          <w:p w:rsidR="00682CE8" w:rsidRPr="00682CE8" w:rsidRDefault="00682CE8" w:rsidP="002522AC">
            <w:pPr>
              <w:jc w:val="center"/>
              <w:rPr>
                <w:color w:val="000000"/>
                <w:sz w:val="20"/>
                <w:szCs w:val="20"/>
              </w:rPr>
            </w:pPr>
            <w:r w:rsidRPr="00682CE8">
              <w:rPr>
                <w:color w:val="000000"/>
                <w:sz w:val="20"/>
                <w:szCs w:val="20"/>
              </w:rPr>
              <w:t>0,1</w:t>
            </w:r>
          </w:p>
        </w:tc>
        <w:tc>
          <w:tcPr>
            <w:tcW w:w="885" w:type="dxa"/>
            <w:tcBorders>
              <w:top w:val="nil"/>
              <w:left w:val="nil"/>
              <w:bottom w:val="single" w:sz="8" w:space="0" w:color="auto"/>
              <w:right w:val="single" w:sz="8" w:space="0" w:color="auto"/>
            </w:tcBorders>
            <w:shd w:val="clear" w:color="auto" w:fill="auto"/>
            <w:vAlign w:val="center"/>
            <w:hideMark/>
          </w:tcPr>
          <w:p w:rsidR="00682CE8" w:rsidRPr="00682CE8" w:rsidRDefault="00682CE8" w:rsidP="002522AC">
            <w:pPr>
              <w:jc w:val="center"/>
              <w:rPr>
                <w:color w:val="000000"/>
                <w:sz w:val="20"/>
                <w:szCs w:val="20"/>
              </w:rPr>
            </w:pPr>
            <w:r w:rsidRPr="00682CE8">
              <w:rPr>
                <w:color w:val="000000"/>
                <w:sz w:val="20"/>
                <w:szCs w:val="20"/>
              </w:rPr>
              <w:t>0.05 и менее</w:t>
            </w:r>
          </w:p>
        </w:tc>
      </w:tr>
    </w:tbl>
    <w:p w:rsidR="00682CE8" w:rsidRPr="00682CE8" w:rsidRDefault="00682CE8" w:rsidP="00682CE8">
      <w:pPr>
        <w:spacing w:before="120" w:after="120"/>
        <w:jc w:val="both"/>
      </w:pPr>
    </w:p>
    <w:p w:rsidR="00682CE8" w:rsidRPr="00682CE8" w:rsidRDefault="00682CE8" w:rsidP="00682CE8">
      <w:pPr>
        <w:pStyle w:val="1"/>
        <w:numPr>
          <w:ilvl w:val="0"/>
          <w:numId w:val="5"/>
        </w:numPr>
        <w:tabs>
          <w:tab w:val="left" w:pos="540"/>
        </w:tabs>
        <w:jc w:val="both"/>
        <w:rPr>
          <w:rFonts w:ascii="Times New Roman" w:hAnsi="Times New Roman" w:cs="Times New Roman"/>
          <w:sz w:val="24"/>
          <w:szCs w:val="24"/>
        </w:rPr>
      </w:pPr>
      <w:bookmarkStart w:id="68" w:name="_Toc322961182"/>
      <w:bookmarkStart w:id="69" w:name="_Toc326066017"/>
      <w:bookmarkStart w:id="70" w:name="_Toc326066287"/>
      <w:bookmarkStart w:id="71" w:name="_Toc326067318"/>
      <w:bookmarkStart w:id="72" w:name="_Toc326077653"/>
      <w:r w:rsidRPr="00682CE8">
        <w:rPr>
          <w:rFonts w:ascii="Times New Roman" w:hAnsi="Times New Roman" w:cs="Times New Roman"/>
          <w:sz w:val="24"/>
          <w:szCs w:val="24"/>
        </w:rPr>
        <w:lastRenderedPageBreak/>
        <w:t xml:space="preserve">Весовые коэффициенты и формирование </w:t>
      </w:r>
      <w:bookmarkEnd w:id="68"/>
      <w:bookmarkEnd w:id="69"/>
      <w:bookmarkEnd w:id="70"/>
      <w:bookmarkEnd w:id="71"/>
      <w:bookmarkEnd w:id="72"/>
      <w:r w:rsidRPr="00682CE8">
        <w:rPr>
          <w:rFonts w:ascii="Times New Roman" w:hAnsi="Times New Roman" w:cs="Times New Roman"/>
          <w:sz w:val="24"/>
          <w:szCs w:val="24"/>
        </w:rPr>
        <w:t>первичной оценки</w:t>
      </w:r>
    </w:p>
    <w:p w:rsidR="00682CE8" w:rsidRPr="00682CE8" w:rsidRDefault="00682CE8" w:rsidP="00682CE8">
      <w:pPr>
        <w:numPr>
          <w:ilvl w:val="1"/>
          <w:numId w:val="5"/>
        </w:numPr>
        <w:spacing w:before="120" w:after="120"/>
        <w:jc w:val="both"/>
      </w:pPr>
      <w:r w:rsidRPr="00682CE8">
        <w:t>Для расчета финансовых показателей используются данные бухгалтерской отчетности участников закупочной процедуры по состоянию на три отчетные даты: предпоследний и последний завершенные финансовые годы, а также последняя отчетная дата незавершенного финансового года*. 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rsidR="00682CE8" w:rsidRPr="00682CE8" w:rsidRDefault="00682CE8" w:rsidP="00682CE8">
      <w:pPr>
        <w:spacing w:before="120" w:after="120"/>
        <w:jc w:val="right"/>
        <w:rPr>
          <w:lang w:val="en-US"/>
        </w:rPr>
      </w:pPr>
      <w:r w:rsidRPr="00682CE8">
        <w:t>Таблица Весовые коэффициенты отчетных дат</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2"/>
        <w:gridCol w:w="2882"/>
        <w:gridCol w:w="2883"/>
      </w:tblGrid>
      <w:tr w:rsidR="00682CE8" w:rsidRPr="00682CE8" w:rsidTr="002522AC">
        <w:trPr>
          <w:trHeight w:val="300"/>
        </w:trPr>
        <w:tc>
          <w:tcPr>
            <w:tcW w:w="2882" w:type="dxa"/>
            <w:shd w:val="clear" w:color="000000" w:fill="F2F2F2"/>
            <w:noWrap/>
            <w:vAlign w:val="center"/>
          </w:tcPr>
          <w:p w:rsidR="00682CE8" w:rsidRPr="00682CE8" w:rsidRDefault="00682CE8" w:rsidP="002522AC">
            <w:pPr>
              <w:jc w:val="center"/>
              <w:rPr>
                <w:color w:val="000000"/>
              </w:rPr>
            </w:pPr>
            <w:r w:rsidRPr="00682CE8">
              <w:rPr>
                <w:color w:val="000000"/>
              </w:rPr>
              <w:t>Предпоследний завершенный финансовый год</w:t>
            </w:r>
          </w:p>
        </w:tc>
        <w:tc>
          <w:tcPr>
            <w:tcW w:w="2882" w:type="dxa"/>
            <w:shd w:val="clear" w:color="000000" w:fill="F2F2F2"/>
            <w:noWrap/>
            <w:vAlign w:val="center"/>
          </w:tcPr>
          <w:p w:rsidR="00682CE8" w:rsidRPr="00682CE8" w:rsidRDefault="00682CE8" w:rsidP="002522AC">
            <w:pPr>
              <w:jc w:val="center"/>
              <w:rPr>
                <w:color w:val="000000"/>
              </w:rPr>
            </w:pPr>
            <w:r w:rsidRPr="00682CE8">
              <w:rPr>
                <w:color w:val="000000"/>
              </w:rPr>
              <w:t>Последний завершенный финансовый год</w:t>
            </w:r>
          </w:p>
        </w:tc>
        <w:tc>
          <w:tcPr>
            <w:tcW w:w="2883" w:type="dxa"/>
            <w:shd w:val="clear" w:color="000000" w:fill="F2F2F2"/>
            <w:noWrap/>
            <w:vAlign w:val="center"/>
          </w:tcPr>
          <w:p w:rsidR="00682CE8" w:rsidRPr="00682CE8" w:rsidRDefault="00682CE8" w:rsidP="002522AC">
            <w:pPr>
              <w:jc w:val="center"/>
              <w:rPr>
                <w:color w:val="000000"/>
              </w:rPr>
            </w:pPr>
            <w:r w:rsidRPr="00682CE8">
              <w:rPr>
                <w:color w:val="000000"/>
              </w:rPr>
              <w:t>Последняя отчетная дата незавершенного финансового года*</w:t>
            </w:r>
          </w:p>
        </w:tc>
      </w:tr>
      <w:tr w:rsidR="00682CE8" w:rsidRPr="00682CE8" w:rsidTr="002522AC">
        <w:trPr>
          <w:trHeight w:val="300"/>
        </w:trPr>
        <w:tc>
          <w:tcPr>
            <w:tcW w:w="2882"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25%</w:t>
            </w:r>
          </w:p>
        </w:tc>
        <w:tc>
          <w:tcPr>
            <w:tcW w:w="2882"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50%</w:t>
            </w:r>
          </w:p>
        </w:tc>
        <w:tc>
          <w:tcPr>
            <w:tcW w:w="2883"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25%</w:t>
            </w:r>
          </w:p>
        </w:tc>
      </w:tr>
      <w:tr w:rsidR="00682CE8" w:rsidRPr="00682CE8" w:rsidTr="002522AC">
        <w:trPr>
          <w:trHeight w:val="300"/>
        </w:trPr>
        <w:tc>
          <w:tcPr>
            <w:tcW w:w="2882"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33,3%</w:t>
            </w:r>
          </w:p>
        </w:tc>
        <w:tc>
          <w:tcPr>
            <w:tcW w:w="2882"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66,7%</w:t>
            </w:r>
          </w:p>
        </w:tc>
        <w:tc>
          <w:tcPr>
            <w:tcW w:w="2883" w:type="dxa"/>
            <w:shd w:val="clear" w:color="000000" w:fill="FFE5E5"/>
            <w:noWrap/>
            <w:vAlign w:val="center"/>
          </w:tcPr>
          <w:p w:rsidR="00682CE8" w:rsidRPr="00682CE8" w:rsidRDefault="00682CE8" w:rsidP="002522AC">
            <w:pPr>
              <w:jc w:val="center"/>
              <w:rPr>
                <w:color w:val="000000"/>
              </w:rPr>
            </w:pPr>
            <w:r w:rsidRPr="00682CE8">
              <w:rPr>
                <w:color w:val="000000"/>
              </w:rPr>
              <w:t>отсутствует</w:t>
            </w:r>
          </w:p>
        </w:tc>
      </w:tr>
      <w:tr w:rsidR="00682CE8" w:rsidRPr="00682CE8" w:rsidTr="002522AC">
        <w:trPr>
          <w:trHeight w:val="300"/>
        </w:trPr>
        <w:tc>
          <w:tcPr>
            <w:tcW w:w="2882" w:type="dxa"/>
            <w:shd w:val="clear" w:color="000000" w:fill="FFE5E5"/>
            <w:noWrap/>
            <w:vAlign w:val="center"/>
          </w:tcPr>
          <w:p w:rsidR="00682CE8" w:rsidRPr="00682CE8" w:rsidRDefault="00682CE8" w:rsidP="002522AC">
            <w:pPr>
              <w:jc w:val="center"/>
              <w:rPr>
                <w:color w:val="000000"/>
              </w:rPr>
            </w:pPr>
            <w:r w:rsidRPr="00682CE8">
              <w:rPr>
                <w:color w:val="000000"/>
              </w:rPr>
              <w:t>отсутствует</w:t>
            </w:r>
          </w:p>
        </w:tc>
        <w:tc>
          <w:tcPr>
            <w:tcW w:w="2882"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66,7%</w:t>
            </w:r>
          </w:p>
        </w:tc>
        <w:tc>
          <w:tcPr>
            <w:tcW w:w="2883"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33,3%</w:t>
            </w:r>
          </w:p>
        </w:tc>
      </w:tr>
      <w:tr w:rsidR="00682CE8" w:rsidRPr="00682CE8" w:rsidTr="002522AC">
        <w:trPr>
          <w:trHeight w:val="300"/>
        </w:trPr>
        <w:tc>
          <w:tcPr>
            <w:tcW w:w="2882" w:type="dxa"/>
            <w:shd w:val="clear" w:color="000000" w:fill="FFE5E5"/>
            <w:noWrap/>
            <w:vAlign w:val="center"/>
          </w:tcPr>
          <w:p w:rsidR="00682CE8" w:rsidRPr="00682CE8" w:rsidRDefault="00682CE8" w:rsidP="002522AC">
            <w:pPr>
              <w:jc w:val="center"/>
              <w:rPr>
                <w:color w:val="000000"/>
              </w:rPr>
            </w:pPr>
            <w:r w:rsidRPr="00682CE8">
              <w:rPr>
                <w:color w:val="000000"/>
              </w:rPr>
              <w:t>отсутствует</w:t>
            </w:r>
          </w:p>
        </w:tc>
        <w:tc>
          <w:tcPr>
            <w:tcW w:w="2882" w:type="dxa"/>
            <w:shd w:val="clear" w:color="000000" w:fill="FFE5E5"/>
            <w:noWrap/>
            <w:vAlign w:val="center"/>
          </w:tcPr>
          <w:p w:rsidR="00682CE8" w:rsidRPr="00682CE8" w:rsidRDefault="00682CE8" w:rsidP="002522AC">
            <w:pPr>
              <w:jc w:val="center"/>
              <w:rPr>
                <w:color w:val="000000"/>
              </w:rPr>
            </w:pPr>
            <w:r w:rsidRPr="00682CE8">
              <w:rPr>
                <w:color w:val="000000"/>
              </w:rPr>
              <w:t>отсутствует</w:t>
            </w:r>
          </w:p>
        </w:tc>
        <w:tc>
          <w:tcPr>
            <w:tcW w:w="2883" w:type="dxa"/>
            <w:shd w:val="clear" w:color="auto" w:fill="auto"/>
            <w:noWrap/>
            <w:vAlign w:val="center"/>
          </w:tcPr>
          <w:p w:rsidR="00682CE8" w:rsidRPr="00682CE8" w:rsidRDefault="00682CE8" w:rsidP="002522AC">
            <w:pPr>
              <w:jc w:val="center"/>
              <w:rPr>
                <w:color w:val="000000"/>
                <w:sz w:val="28"/>
                <w:szCs w:val="28"/>
              </w:rPr>
            </w:pPr>
            <w:r w:rsidRPr="00682CE8">
              <w:rPr>
                <w:color w:val="000000"/>
                <w:sz w:val="28"/>
                <w:szCs w:val="28"/>
              </w:rPr>
              <w:t>100%</w:t>
            </w:r>
          </w:p>
        </w:tc>
      </w:tr>
    </w:tbl>
    <w:p w:rsidR="00682CE8" w:rsidRPr="00682CE8" w:rsidRDefault="00682CE8" w:rsidP="00682CE8">
      <w:pPr>
        <w:spacing w:before="120" w:after="120"/>
        <w:jc w:val="both"/>
        <w:rPr>
          <w:i/>
          <w:sz w:val="20"/>
          <w:szCs w:val="20"/>
        </w:rPr>
      </w:pPr>
      <w:r w:rsidRPr="00682CE8">
        <w:rPr>
          <w:i/>
          <w:sz w:val="20"/>
          <w:szCs w:val="20"/>
        </w:rPr>
        <w:t>*учитывая, что составление промежуточной (по полугодиям и/или ежеквартальной)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p>
    <w:p w:rsidR="00682CE8" w:rsidRPr="00682CE8" w:rsidRDefault="00682CE8" w:rsidP="00682CE8">
      <w:pPr>
        <w:numPr>
          <w:ilvl w:val="1"/>
          <w:numId w:val="5"/>
        </w:numPr>
        <w:spacing w:before="120" w:after="120"/>
        <w:jc w:val="both"/>
      </w:pPr>
      <w:r w:rsidRPr="00682CE8">
        <w:t>Допускается корректировка весовых коэффициентов отчетных дат по причине недостаточно продолжительной истории существования участника закупочной процедуры, когда данные за прошедшие финансовые года отсутствуют, как это указано в строках 3 и 4 Таблицы Весовые коэффициенты отчетных дат.</w:t>
      </w:r>
    </w:p>
    <w:p w:rsidR="00682CE8" w:rsidRPr="00682CE8" w:rsidRDefault="00682CE8" w:rsidP="00682CE8">
      <w:pPr>
        <w:numPr>
          <w:ilvl w:val="1"/>
          <w:numId w:val="5"/>
        </w:numPr>
        <w:spacing w:before="120" w:after="120"/>
        <w:jc w:val="both"/>
      </w:pPr>
      <w:r w:rsidRPr="00682CE8">
        <w:t xml:space="preserve">В случае отсутствия данных бухгалтерской отчетности за какой-либо завершенный финансовый год из указанных в таблице по причине не предоставления участником закупочной процедуры или другим причинам, отличным от описанных в п. 8.2. и при отсутствии указанной информации в других источниках (например, </w:t>
      </w:r>
      <w:proofErr w:type="spellStart"/>
      <w:r w:rsidRPr="00682CE8">
        <w:t>Спарк</w:t>
      </w:r>
      <w:proofErr w:type="spellEnd"/>
      <w:r w:rsidRPr="00682CE8">
        <w:t>-Интерфакс),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rsidR="00682CE8" w:rsidRPr="00682CE8" w:rsidRDefault="00682CE8" w:rsidP="00682CE8">
      <w:pPr>
        <w:numPr>
          <w:ilvl w:val="1"/>
          <w:numId w:val="5"/>
        </w:numPr>
        <w:spacing w:before="120" w:after="120"/>
        <w:jc w:val="both"/>
      </w:pPr>
      <w:r w:rsidRPr="00682CE8">
        <w:t>Участник закупочной процедуры, не предоставивший бухгалтерскую отчетность, в том числе после осуществления дополнительного запроса, ни на одну из указанных отчетных дат, должен быть отклонен на отборочной стадии.</w:t>
      </w:r>
    </w:p>
    <w:p w:rsidR="00682CE8" w:rsidRPr="00682CE8" w:rsidRDefault="00682CE8" w:rsidP="00682CE8">
      <w:pPr>
        <w:numPr>
          <w:ilvl w:val="1"/>
          <w:numId w:val="5"/>
        </w:numPr>
        <w:spacing w:before="120" w:after="120"/>
        <w:jc w:val="both"/>
      </w:pPr>
      <w:r w:rsidRPr="00682CE8">
        <w:t xml:space="preserve">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w:t>
      </w:r>
      <w:proofErr w:type="spellStart"/>
      <w:r w:rsidRPr="00682CE8">
        <w:t>балльно</w:t>
      </w:r>
      <w:proofErr w:type="spellEnd"/>
      <w:r w:rsidRPr="00682CE8">
        <w:t>-весового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ранжирования предложений участников закупочной процедуры.</w:t>
      </w:r>
    </w:p>
    <w:p w:rsidR="00682CE8" w:rsidRPr="00682CE8" w:rsidRDefault="00682CE8" w:rsidP="00682CE8">
      <w:pPr>
        <w:spacing w:before="120" w:after="120"/>
        <w:ind w:left="426"/>
        <w:jc w:val="right"/>
      </w:pPr>
    </w:p>
    <w:p w:rsidR="00682CE8" w:rsidRPr="00682CE8" w:rsidRDefault="00682CE8" w:rsidP="00682CE8">
      <w:pPr>
        <w:spacing w:before="120" w:after="120"/>
        <w:ind w:left="426"/>
        <w:jc w:val="right"/>
      </w:pPr>
    </w:p>
    <w:p w:rsidR="00682CE8" w:rsidRPr="00682CE8" w:rsidRDefault="00682CE8" w:rsidP="00682CE8">
      <w:pPr>
        <w:spacing w:before="120" w:after="120"/>
        <w:ind w:left="426"/>
        <w:jc w:val="right"/>
      </w:pPr>
      <w:r w:rsidRPr="00682CE8">
        <w:t>Таблица Весовые коэффициенты</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061"/>
        <w:gridCol w:w="606"/>
        <w:gridCol w:w="2864"/>
        <w:gridCol w:w="866"/>
        <w:gridCol w:w="1300"/>
      </w:tblGrid>
      <w:tr w:rsidR="00682CE8" w:rsidRPr="00682CE8" w:rsidTr="002522AC">
        <w:trPr>
          <w:trHeight w:val="2235"/>
        </w:trPr>
        <w:tc>
          <w:tcPr>
            <w:tcW w:w="498" w:type="dxa"/>
            <w:shd w:val="clear" w:color="auto" w:fill="auto"/>
            <w:noWrap/>
            <w:vAlign w:val="bottom"/>
          </w:tcPr>
          <w:p w:rsidR="00682CE8" w:rsidRPr="00682CE8" w:rsidRDefault="00682CE8" w:rsidP="002522AC">
            <w:pPr>
              <w:rPr>
                <w:color w:val="000000"/>
              </w:rPr>
            </w:pPr>
            <w:r w:rsidRPr="00682CE8">
              <w:rPr>
                <w:color w:val="000000"/>
                <w:sz w:val="22"/>
                <w:szCs w:val="22"/>
              </w:rPr>
              <w:t> </w:t>
            </w:r>
          </w:p>
        </w:tc>
        <w:tc>
          <w:tcPr>
            <w:tcW w:w="3061" w:type="dxa"/>
            <w:shd w:val="clear" w:color="auto" w:fill="auto"/>
            <w:noWrap/>
            <w:vAlign w:val="bottom"/>
          </w:tcPr>
          <w:p w:rsidR="00682CE8" w:rsidRPr="00682CE8" w:rsidRDefault="00682CE8" w:rsidP="002522AC">
            <w:pPr>
              <w:rPr>
                <w:color w:val="000000"/>
              </w:rPr>
            </w:pPr>
            <w:r w:rsidRPr="00682CE8">
              <w:rPr>
                <w:color w:val="000000"/>
                <w:sz w:val="22"/>
                <w:szCs w:val="22"/>
              </w:rPr>
              <w:t> </w:t>
            </w:r>
          </w:p>
        </w:tc>
        <w:tc>
          <w:tcPr>
            <w:tcW w:w="606" w:type="dxa"/>
            <w:shd w:val="clear" w:color="auto" w:fill="auto"/>
            <w:textDirection w:val="btLr"/>
            <w:vAlign w:val="center"/>
          </w:tcPr>
          <w:p w:rsidR="00682CE8" w:rsidRPr="00682CE8" w:rsidRDefault="00682CE8" w:rsidP="002522AC">
            <w:pPr>
              <w:jc w:val="center"/>
              <w:rPr>
                <w:color w:val="000000"/>
              </w:rPr>
            </w:pPr>
            <w:r w:rsidRPr="00682CE8">
              <w:rPr>
                <w:color w:val="000000"/>
                <w:sz w:val="22"/>
                <w:szCs w:val="22"/>
              </w:rPr>
              <w:t>Вес группы</w:t>
            </w:r>
          </w:p>
        </w:tc>
        <w:tc>
          <w:tcPr>
            <w:tcW w:w="2864" w:type="dxa"/>
            <w:shd w:val="clear" w:color="auto" w:fill="auto"/>
            <w:noWrap/>
            <w:vAlign w:val="center"/>
          </w:tcPr>
          <w:p w:rsidR="00682CE8" w:rsidRPr="00682CE8" w:rsidRDefault="00682CE8" w:rsidP="002522AC">
            <w:pPr>
              <w:jc w:val="center"/>
              <w:rPr>
                <w:color w:val="000000"/>
              </w:rPr>
            </w:pPr>
            <w:r w:rsidRPr="00682CE8">
              <w:rPr>
                <w:color w:val="000000"/>
                <w:sz w:val="22"/>
                <w:szCs w:val="22"/>
              </w:rPr>
              <w:t>Показатель</w:t>
            </w:r>
          </w:p>
        </w:tc>
        <w:tc>
          <w:tcPr>
            <w:tcW w:w="866" w:type="dxa"/>
            <w:shd w:val="clear" w:color="auto" w:fill="auto"/>
            <w:textDirection w:val="btLr"/>
            <w:vAlign w:val="center"/>
          </w:tcPr>
          <w:p w:rsidR="00682CE8" w:rsidRPr="00682CE8" w:rsidRDefault="00682CE8" w:rsidP="002522AC">
            <w:pPr>
              <w:jc w:val="center"/>
              <w:rPr>
                <w:color w:val="000000"/>
              </w:rPr>
            </w:pPr>
            <w:r w:rsidRPr="00682CE8">
              <w:rPr>
                <w:color w:val="000000"/>
                <w:sz w:val="22"/>
                <w:szCs w:val="22"/>
              </w:rPr>
              <w:t>Вес показателя внутри группы</w:t>
            </w:r>
          </w:p>
        </w:tc>
        <w:tc>
          <w:tcPr>
            <w:tcW w:w="1300" w:type="dxa"/>
            <w:shd w:val="clear" w:color="auto" w:fill="auto"/>
            <w:textDirection w:val="btLr"/>
            <w:vAlign w:val="center"/>
          </w:tcPr>
          <w:p w:rsidR="00682CE8" w:rsidRPr="00682CE8" w:rsidRDefault="00682CE8" w:rsidP="002522AC">
            <w:pPr>
              <w:jc w:val="center"/>
              <w:rPr>
                <w:color w:val="000000"/>
              </w:rPr>
            </w:pPr>
            <w:r w:rsidRPr="00682CE8">
              <w:rPr>
                <w:color w:val="000000"/>
                <w:sz w:val="22"/>
                <w:szCs w:val="22"/>
              </w:rPr>
              <w:t>Итоговый вес показателя с учетом веса группы показателей</w:t>
            </w:r>
          </w:p>
        </w:tc>
      </w:tr>
      <w:tr w:rsidR="00682CE8" w:rsidRPr="00682CE8" w:rsidTr="002522AC">
        <w:trPr>
          <w:trHeight w:val="600"/>
        </w:trPr>
        <w:tc>
          <w:tcPr>
            <w:tcW w:w="498" w:type="dxa"/>
            <w:vMerge w:val="restart"/>
            <w:shd w:val="clear" w:color="auto" w:fill="auto"/>
            <w:textDirection w:val="btLr"/>
            <w:vAlign w:val="center"/>
          </w:tcPr>
          <w:p w:rsidR="00682CE8" w:rsidRPr="00682CE8" w:rsidRDefault="00682CE8" w:rsidP="002522AC">
            <w:pPr>
              <w:jc w:val="center"/>
              <w:rPr>
                <w:b/>
                <w:color w:val="000000"/>
              </w:rPr>
            </w:pPr>
            <w:r w:rsidRPr="00682CE8">
              <w:rPr>
                <w:b/>
                <w:color w:val="000000"/>
                <w:sz w:val="22"/>
                <w:szCs w:val="22"/>
              </w:rPr>
              <w:t>Группа финансовых показателей</w:t>
            </w:r>
          </w:p>
        </w:tc>
        <w:tc>
          <w:tcPr>
            <w:tcW w:w="3061" w:type="dxa"/>
            <w:vMerge w:val="restart"/>
            <w:shd w:val="clear" w:color="auto" w:fill="auto"/>
          </w:tcPr>
          <w:p w:rsidR="00682CE8" w:rsidRPr="00682CE8" w:rsidRDefault="00682CE8" w:rsidP="002522AC">
            <w:pPr>
              <w:rPr>
                <w:color w:val="000000"/>
              </w:rPr>
            </w:pPr>
            <w:r w:rsidRPr="00682CE8">
              <w:rPr>
                <w:b/>
                <w:color w:val="000000"/>
                <w:sz w:val="22"/>
                <w:szCs w:val="22"/>
              </w:rPr>
              <w:t>1 группа</w:t>
            </w:r>
            <w:r w:rsidRPr="00682CE8">
              <w:rPr>
                <w:color w:val="000000"/>
                <w:sz w:val="22"/>
                <w:szCs w:val="22"/>
              </w:rPr>
              <w:t xml:space="preserve"> Коэффициенты, характеризующие способность компании расплачиваться по финансовым обязательствам и устойчивость:</w:t>
            </w:r>
          </w:p>
        </w:tc>
        <w:tc>
          <w:tcPr>
            <w:tcW w:w="606" w:type="dxa"/>
            <w:vMerge w:val="restart"/>
            <w:shd w:val="clear" w:color="auto" w:fill="auto"/>
            <w:vAlign w:val="center"/>
          </w:tcPr>
          <w:p w:rsidR="00682CE8" w:rsidRPr="00682CE8" w:rsidRDefault="00682CE8" w:rsidP="002522AC">
            <w:pPr>
              <w:jc w:val="center"/>
              <w:rPr>
                <w:color w:val="000000"/>
              </w:rPr>
            </w:pPr>
            <w:r w:rsidRPr="00682CE8">
              <w:rPr>
                <w:color w:val="000000"/>
                <w:sz w:val="22"/>
                <w:szCs w:val="22"/>
              </w:rPr>
              <w:t>0,30</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Доля привлеченных средств в пассивах</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50%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0,15</w:t>
            </w:r>
          </w:p>
        </w:tc>
      </w:tr>
      <w:tr w:rsidR="00682CE8" w:rsidRPr="00682CE8" w:rsidTr="002522AC">
        <w:trPr>
          <w:trHeight w:val="600"/>
        </w:trPr>
        <w:tc>
          <w:tcPr>
            <w:tcW w:w="498" w:type="dxa"/>
            <w:vMerge/>
            <w:vAlign w:val="center"/>
          </w:tcPr>
          <w:p w:rsidR="00682CE8" w:rsidRPr="00682CE8" w:rsidRDefault="00682CE8" w:rsidP="002522AC">
            <w:pPr>
              <w:jc w:val="center"/>
              <w:rPr>
                <w:color w:val="000000"/>
              </w:rPr>
            </w:pPr>
          </w:p>
        </w:tc>
        <w:tc>
          <w:tcPr>
            <w:tcW w:w="3061" w:type="dxa"/>
            <w:vMerge/>
            <w:vAlign w:val="center"/>
          </w:tcPr>
          <w:p w:rsidR="00682CE8" w:rsidRPr="00682CE8" w:rsidRDefault="00682CE8" w:rsidP="002522AC">
            <w:pPr>
              <w:rPr>
                <w:color w:val="000000"/>
              </w:rPr>
            </w:pPr>
          </w:p>
        </w:tc>
        <w:tc>
          <w:tcPr>
            <w:tcW w:w="606" w:type="dxa"/>
            <w:vMerge/>
            <w:vAlign w:val="center"/>
          </w:tcPr>
          <w:p w:rsidR="00682CE8" w:rsidRPr="00682CE8" w:rsidRDefault="00682CE8" w:rsidP="002522AC">
            <w:pPr>
              <w:jc w:val="center"/>
              <w:rPr>
                <w:color w:val="000000"/>
              </w:rPr>
            </w:pP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Рентабельность инвестированного капитала</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20%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0,06</w:t>
            </w:r>
          </w:p>
        </w:tc>
      </w:tr>
      <w:tr w:rsidR="00682CE8" w:rsidRPr="00682CE8" w:rsidTr="002522AC">
        <w:trPr>
          <w:trHeight w:val="300"/>
        </w:trPr>
        <w:tc>
          <w:tcPr>
            <w:tcW w:w="498" w:type="dxa"/>
            <w:vMerge/>
            <w:vAlign w:val="center"/>
          </w:tcPr>
          <w:p w:rsidR="00682CE8" w:rsidRPr="00682CE8" w:rsidRDefault="00682CE8" w:rsidP="002522AC">
            <w:pPr>
              <w:jc w:val="center"/>
              <w:rPr>
                <w:color w:val="000000"/>
              </w:rPr>
            </w:pPr>
          </w:p>
        </w:tc>
        <w:tc>
          <w:tcPr>
            <w:tcW w:w="3061" w:type="dxa"/>
            <w:vMerge/>
            <w:vAlign w:val="center"/>
          </w:tcPr>
          <w:p w:rsidR="00682CE8" w:rsidRPr="00682CE8" w:rsidRDefault="00682CE8" w:rsidP="002522AC">
            <w:pPr>
              <w:rPr>
                <w:color w:val="000000"/>
              </w:rPr>
            </w:pPr>
          </w:p>
        </w:tc>
        <w:tc>
          <w:tcPr>
            <w:tcW w:w="606" w:type="dxa"/>
            <w:vMerge/>
            <w:vAlign w:val="center"/>
          </w:tcPr>
          <w:p w:rsidR="00682CE8" w:rsidRPr="00682CE8" w:rsidRDefault="00682CE8" w:rsidP="002522AC">
            <w:pPr>
              <w:jc w:val="center"/>
              <w:rPr>
                <w:color w:val="000000"/>
              </w:rPr>
            </w:pP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Долг / EBITDA</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30%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0,09</w:t>
            </w:r>
          </w:p>
        </w:tc>
      </w:tr>
      <w:tr w:rsidR="00682CE8" w:rsidRPr="00682CE8" w:rsidTr="002522AC">
        <w:trPr>
          <w:trHeight w:val="300"/>
        </w:trPr>
        <w:tc>
          <w:tcPr>
            <w:tcW w:w="498" w:type="dxa"/>
            <w:vMerge/>
            <w:vAlign w:val="center"/>
          </w:tcPr>
          <w:p w:rsidR="00682CE8" w:rsidRPr="00682CE8" w:rsidRDefault="00682CE8" w:rsidP="002522AC">
            <w:pPr>
              <w:jc w:val="center"/>
              <w:rPr>
                <w:color w:val="000000"/>
              </w:rPr>
            </w:pPr>
          </w:p>
        </w:tc>
        <w:tc>
          <w:tcPr>
            <w:tcW w:w="3061" w:type="dxa"/>
            <w:vMerge w:val="restart"/>
            <w:shd w:val="clear" w:color="auto" w:fill="auto"/>
          </w:tcPr>
          <w:p w:rsidR="00682CE8" w:rsidRPr="00682CE8" w:rsidRDefault="00682CE8" w:rsidP="002522AC">
            <w:pPr>
              <w:rPr>
                <w:color w:val="000000"/>
              </w:rPr>
            </w:pPr>
            <w:r w:rsidRPr="00682CE8">
              <w:rPr>
                <w:b/>
                <w:color w:val="000000"/>
                <w:sz w:val="22"/>
                <w:szCs w:val="22"/>
              </w:rPr>
              <w:t>2 группа</w:t>
            </w:r>
            <w:r w:rsidRPr="00682CE8">
              <w:rPr>
                <w:color w:val="000000"/>
                <w:sz w:val="22"/>
                <w:szCs w:val="22"/>
              </w:rPr>
              <w:t xml:space="preserve"> Коэффициенты, характеризующие операционную деятельность</w:t>
            </w:r>
          </w:p>
        </w:tc>
        <w:tc>
          <w:tcPr>
            <w:tcW w:w="606" w:type="dxa"/>
            <w:vMerge w:val="restart"/>
            <w:shd w:val="clear" w:color="auto" w:fill="auto"/>
            <w:vAlign w:val="center"/>
          </w:tcPr>
          <w:p w:rsidR="00682CE8" w:rsidRPr="00682CE8" w:rsidRDefault="00682CE8" w:rsidP="002522AC">
            <w:pPr>
              <w:jc w:val="center"/>
              <w:rPr>
                <w:color w:val="000000"/>
              </w:rPr>
            </w:pPr>
            <w:r w:rsidRPr="00682CE8">
              <w:rPr>
                <w:color w:val="000000"/>
                <w:sz w:val="22"/>
                <w:szCs w:val="22"/>
              </w:rPr>
              <w:t>0,22</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период оборота дебиторской задолженности</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30%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0,07</w:t>
            </w:r>
          </w:p>
        </w:tc>
      </w:tr>
      <w:tr w:rsidR="00682CE8" w:rsidRPr="00682CE8" w:rsidTr="002522AC">
        <w:trPr>
          <w:trHeight w:val="300"/>
        </w:trPr>
        <w:tc>
          <w:tcPr>
            <w:tcW w:w="498" w:type="dxa"/>
            <w:vMerge/>
            <w:vAlign w:val="center"/>
          </w:tcPr>
          <w:p w:rsidR="00682CE8" w:rsidRPr="00682CE8" w:rsidRDefault="00682CE8" w:rsidP="002522AC">
            <w:pPr>
              <w:jc w:val="center"/>
              <w:rPr>
                <w:color w:val="000000"/>
              </w:rPr>
            </w:pPr>
          </w:p>
        </w:tc>
        <w:tc>
          <w:tcPr>
            <w:tcW w:w="3061" w:type="dxa"/>
            <w:vMerge/>
            <w:vAlign w:val="center"/>
          </w:tcPr>
          <w:p w:rsidR="00682CE8" w:rsidRPr="00682CE8" w:rsidRDefault="00682CE8" w:rsidP="002522AC">
            <w:pPr>
              <w:rPr>
                <w:color w:val="000000"/>
              </w:rPr>
            </w:pPr>
          </w:p>
        </w:tc>
        <w:tc>
          <w:tcPr>
            <w:tcW w:w="606" w:type="dxa"/>
            <w:vMerge/>
            <w:vAlign w:val="center"/>
          </w:tcPr>
          <w:p w:rsidR="00682CE8" w:rsidRPr="00682CE8" w:rsidRDefault="00682CE8" w:rsidP="002522AC">
            <w:pPr>
              <w:jc w:val="center"/>
              <w:rPr>
                <w:color w:val="000000"/>
              </w:rPr>
            </w:pP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период оборота кредиторской задолженности</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70%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0,15</w:t>
            </w:r>
          </w:p>
        </w:tc>
      </w:tr>
      <w:tr w:rsidR="00682CE8" w:rsidRPr="00682CE8" w:rsidTr="002522AC">
        <w:trPr>
          <w:trHeight w:val="300"/>
        </w:trPr>
        <w:tc>
          <w:tcPr>
            <w:tcW w:w="498" w:type="dxa"/>
            <w:vMerge/>
            <w:vAlign w:val="center"/>
          </w:tcPr>
          <w:p w:rsidR="00682CE8" w:rsidRPr="00682CE8" w:rsidRDefault="00682CE8" w:rsidP="002522AC">
            <w:pPr>
              <w:jc w:val="center"/>
              <w:rPr>
                <w:color w:val="000000"/>
              </w:rPr>
            </w:pPr>
          </w:p>
        </w:tc>
        <w:tc>
          <w:tcPr>
            <w:tcW w:w="3061" w:type="dxa"/>
            <w:vMerge w:val="restart"/>
            <w:shd w:val="clear" w:color="auto" w:fill="auto"/>
          </w:tcPr>
          <w:p w:rsidR="00682CE8" w:rsidRPr="00682CE8" w:rsidRDefault="00682CE8" w:rsidP="002522AC">
            <w:pPr>
              <w:rPr>
                <w:color w:val="000000"/>
              </w:rPr>
            </w:pPr>
            <w:r w:rsidRPr="00682CE8">
              <w:rPr>
                <w:b/>
                <w:color w:val="000000"/>
                <w:sz w:val="22"/>
                <w:szCs w:val="22"/>
              </w:rPr>
              <w:t>3 группа</w:t>
            </w:r>
            <w:r w:rsidRPr="00682CE8">
              <w:rPr>
                <w:color w:val="000000"/>
                <w:sz w:val="22"/>
                <w:szCs w:val="22"/>
              </w:rPr>
              <w:t xml:space="preserve"> Коэффициенты, характеризующие ликвидность</w:t>
            </w:r>
          </w:p>
        </w:tc>
        <w:tc>
          <w:tcPr>
            <w:tcW w:w="606" w:type="dxa"/>
            <w:vMerge w:val="restart"/>
            <w:shd w:val="clear" w:color="auto" w:fill="auto"/>
            <w:vAlign w:val="center"/>
          </w:tcPr>
          <w:p w:rsidR="00682CE8" w:rsidRPr="00682CE8" w:rsidRDefault="00682CE8" w:rsidP="002522AC">
            <w:pPr>
              <w:jc w:val="center"/>
              <w:rPr>
                <w:color w:val="000000"/>
              </w:rPr>
            </w:pPr>
            <w:r w:rsidRPr="00682CE8">
              <w:rPr>
                <w:color w:val="000000"/>
                <w:sz w:val="22"/>
                <w:szCs w:val="22"/>
              </w:rPr>
              <w:t>0,13</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 xml:space="preserve">Абсолютная ликвидность </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50%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0,065</w:t>
            </w:r>
          </w:p>
        </w:tc>
      </w:tr>
      <w:tr w:rsidR="00682CE8" w:rsidRPr="00682CE8" w:rsidTr="002522AC">
        <w:trPr>
          <w:trHeight w:val="900"/>
        </w:trPr>
        <w:tc>
          <w:tcPr>
            <w:tcW w:w="498" w:type="dxa"/>
            <w:vMerge/>
            <w:vAlign w:val="center"/>
          </w:tcPr>
          <w:p w:rsidR="00682CE8" w:rsidRPr="00682CE8" w:rsidRDefault="00682CE8" w:rsidP="002522AC">
            <w:pPr>
              <w:jc w:val="center"/>
              <w:rPr>
                <w:color w:val="000000"/>
              </w:rPr>
            </w:pPr>
          </w:p>
        </w:tc>
        <w:tc>
          <w:tcPr>
            <w:tcW w:w="3061" w:type="dxa"/>
            <w:vMerge/>
            <w:vAlign w:val="center"/>
          </w:tcPr>
          <w:p w:rsidR="00682CE8" w:rsidRPr="00682CE8" w:rsidRDefault="00682CE8" w:rsidP="002522AC">
            <w:pPr>
              <w:rPr>
                <w:color w:val="000000"/>
              </w:rPr>
            </w:pPr>
          </w:p>
        </w:tc>
        <w:tc>
          <w:tcPr>
            <w:tcW w:w="606" w:type="dxa"/>
            <w:vMerge/>
            <w:vAlign w:val="center"/>
          </w:tcPr>
          <w:p w:rsidR="00682CE8" w:rsidRPr="00682CE8" w:rsidRDefault="00682CE8" w:rsidP="002522AC">
            <w:pPr>
              <w:jc w:val="center"/>
              <w:rPr>
                <w:color w:val="000000"/>
              </w:rPr>
            </w:pP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 xml:space="preserve">Покрытие </w:t>
            </w:r>
            <w:proofErr w:type="spellStart"/>
            <w:r w:rsidRPr="00682CE8">
              <w:rPr>
                <w:i/>
                <w:color w:val="000000"/>
                <w:sz w:val="20"/>
                <w:szCs w:val="20"/>
              </w:rPr>
              <w:t>внеоборотных</w:t>
            </w:r>
            <w:proofErr w:type="spellEnd"/>
            <w:r w:rsidRPr="00682CE8">
              <w:rPr>
                <w:i/>
                <w:color w:val="000000"/>
                <w:sz w:val="20"/>
                <w:szCs w:val="20"/>
              </w:rPr>
              <w:t xml:space="preserve"> активов долгосрочными источниками финансирования </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50%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0,065</w:t>
            </w:r>
          </w:p>
        </w:tc>
      </w:tr>
      <w:tr w:rsidR="00682CE8" w:rsidRPr="00682CE8" w:rsidTr="002522AC">
        <w:trPr>
          <w:trHeight w:val="705"/>
        </w:trPr>
        <w:tc>
          <w:tcPr>
            <w:tcW w:w="498" w:type="dxa"/>
            <w:vMerge w:val="restart"/>
            <w:shd w:val="clear" w:color="auto" w:fill="auto"/>
            <w:textDirection w:val="btLr"/>
            <w:vAlign w:val="center"/>
          </w:tcPr>
          <w:p w:rsidR="00682CE8" w:rsidRPr="00682CE8" w:rsidRDefault="00682CE8" w:rsidP="002522AC">
            <w:pPr>
              <w:jc w:val="center"/>
              <w:rPr>
                <w:b/>
                <w:color w:val="000000"/>
              </w:rPr>
            </w:pPr>
            <w:r w:rsidRPr="00682CE8">
              <w:rPr>
                <w:b/>
                <w:color w:val="000000"/>
                <w:sz w:val="22"/>
                <w:szCs w:val="22"/>
              </w:rPr>
              <w:t>Группа показателей бизнес-риска</w:t>
            </w:r>
          </w:p>
        </w:tc>
        <w:tc>
          <w:tcPr>
            <w:tcW w:w="3061" w:type="dxa"/>
            <w:vMerge w:val="restart"/>
            <w:shd w:val="clear" w:color="auto" w:fill="auto"/>
          </w:tcPr>
          <w:p w:rsidR="00682CE8" w:rsidRPr="00682CE8" w:rsidRDefault="00682CE8" w:rsidP="002522AC">
            <w:pPr>
              <w:rPr>
                <w:color w:val="000000"/>
              </w:rPr>
            </w:pPr>
            <w:r w:rsidRPr="00682CE8">
              <w:rPr>
                <w:b/>
                <w:color w:val="000000"/>
                <w:sz w:val="22"/>
                <w:szCs w:val="22"/>
              </w:rPr>
              <w:t>4 группа</w:t>
            </w:r>
            <w:r w:rsidRPr="00682CE8">
              <w:rPr>
                <w:color w:val="000000"/>
                <w:sz w:val="22"/>
                <w:szCs w:val="22"/>
              </w:rPr>
              <w:t xml:space="preserve"> Соответствие масштабов деятельности участника закупочной процедуры сумме закупки (в сравнении с активами, с выручкой)</w:t>
            </w:r>
          </w:p>
        </w:tc>
        <w:tc>
          <w:tcPr>
            <w:tcW w:w="606" w:type="dxa"/>
            <w:vMerge w:val="restart"/>
            <w:shd w:val="clear" w:color="auto" w:fill="auto"/>
            <w:vAlign w:val="center"/>
          </w:tcPr>
          <w:p w:rsidR="00682CE8" w:rsidRPr="00682CE8" w:rsidRDefault="00682CE8" w:rsidP="002522AC">
            <w:pPr>
              <w:jc w:val="center"/>
              <w:rPr>
                <w:color w:val="000000"/>
              </w:rPr>
            </w:pPr>
            <w:r w:rsidRPr="00682CE8">
              <w:rPr>
                <w:color w:val="000000"/>
                <w:sz w:val="22"/>
                <w:szCs w:val="22"/>
              </w:rPr>
              <w:t>0,38</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Сумма закупки / Выручка</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50%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0,19</w:t>
            </w:r>
          </w:p>
        </w:tc>
      </w:tr>
      <w:tr w:rsidR="00682CE8" w:rsidRPr="00682CE8" w:rsidTr="002522AC">
        <w:trPr>
          <w:trHeight w:val="705"/>
        </w:trPr>
        <w:tc>
          <w:tcPr>
            <w:tcW w:w="498" w:type="dxa"/>
            <w:vMerge/>
            <w:vAlign w:val="center"/>
          </w:tcPr>
          <w:p w:rsidR="00682CE8" w:rsidRPr="00682CE8" w:rsidRDefault="00682CE8" w:rsidP="002522AC">
            <w:pPr>
              <w:rPr>
                <w:color w:val="000000"/>
              </w:rPr>
            </w:pPr>
          </w:p>
        </w:tc>
        <w:tc>
          <w:tcPr>
            <w:tcW w:w="3061" w:type="dxa"/>
            <w:vMerge/>
            <w:vAlign w:val="center"/>
          </w:tcPr>
          <w:p w:rsidR="00682CE8" w:rsidRPr="00682CE8" w:rsidRDefault="00682CE8" w:rsidP="002522AC">
            <w:pPr>
              <w:rPr>
                <w:color w:val="000000"/>
              </w:rPr>
            </w:pPr>
          </w:p>
        </w:tc>
        <w:tc>
          <w:tcPr>
            <w:tcW w:w="606" w:type="dxa"/>
            <w:vMerge/>
            <w:vAlign w:val="center"/>
          </w:tcPr>
          <w:p w:rsidR="00682CE8" w:rsidRPr="00682CE8" w:rsidRDefault="00682CE8" w:rsidP="002522AC">
            <w:pPr>
              <w:jc w:val="center"/>
              <w:rPr>
                <w:color w:val="000000"/>
              </w:rPr>
            </w:pP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Сумма закупки / Активы</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50%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0,19</w:t>
            </w:r>
          </w:p>
        </w:tc>
      </w:tr>
      <w:tr w:rsidR="00682CE8" w:rsidRPr="00682CE8" w:rsidTr="002522AC">
        <w:trPr>
          <w:trHeight w:val="685"/>
        </w:trPr>
        <w:tc>
          <w:tcPr>
            <w:tcW w:w="498" w:type="dxa"/>
            <w:vMerge/>
            <w:vAlign w:val="center"/>
          </w:tcPr>
          <w:p w:rsidR="00682CE8" w:rsidRPr="00682CE8" w:rsidRDefault="00682CE8" w:rsidP="002522AC">
            <w:pPr>
              <w:rPr>
                <w:color w:val="000000"/>
              </w:rPr>
            </w:pPr>
          </w:p>
        </w:tc>
        <w:tc>
          <w:tcPr>
            <w:tcW w:w="3061" w:type="dxa"/>
            <w:shd w:val="clear" w:color="auto" w:fill="auto"/>
          </w:tcPr>
          <w:p w:rsidR="00682CE8" w:rsidRPr="00682CE8" w:rsidRDefault="00682CE8" w:rsidP="002522AC">
            <w:pPr>
              <w:rPr>
                <w:color w:val="000000"/>
              </w:rPr>
            </w:pPr>
            <w:r w:rsidRPr="00682CE8">
              <w:rPr>
                <w:b/>
                <w:color w:val="000000"/>
                <w:sz w:val="22"/>
                <w:szCs w:val="22"/>
              </w:rPr>
              <w:t>5 группа</w:t>
            </w:r>
            <w:r w:rsidRPr="00682CE8">
              <w:rPr>
                <w:color w:val="000000"/>
                <w:sz w:val="22"/>
                <w:szCs w:val="22"/>
              </w:rPr>
              <w:t xml:space="preserve"> Срок существования компании</w:t>
            </w:r>
          </w:p>
        </w:tc>
        <w:tc>
          <w:tcPr>
            <w:tcW w:w="606" w:type="dxa"/>
            <w:shd w:val="clear" w:color="auto" w:fill="auto"/>
            <w:vAlign w:val="center"/>
          </w:tcPr>
          <w:p w:rsidR="00682CE8" w:rsidRPr="00682CE8" w:rsidRDefault="00682CE8" w:rsidP="002522AC">
            <w:pPr>
              <w:jc w:val="center"/>
              <w:rPr>
                <w:color w:val="000000"/>
              </w:rPr>
            </w:pPr>
            <w:r w:rsidRPr="00682CE8">
              <w:rPr>
                <w:color w:val="000000"/>
                <w:sz w:val="22"/>
                <w:szCs w:val="22"/>
              </w:rPr>
              <w:t>0,18</w:t>
            </w:r>
          </w:p>
        </w:tc>
        <w:tc>
          <w:tcPr>
            <w:tcW w:w="2864" w:type="dxa"/>
            <w:shd w:val="clear" w:color="auto" w:fill="auto"/>
          </w:tcPr>
          <w:p w:rsidR="00682CE8" w:rsidRPr="00682CE8" w:rsidRDefault="00682CE8" w:rsidP="002522AC">
            <w:pPr>
              <w:rPr>
                <w:i/>
                <w:color w:val="000000"/>
                <w:sz w:val="20"/>
                <w:szCs w:val="20"/>
              </w:rPr>
            </w:pP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100%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0,18</w:t>
            </w:r>
          </w:p>
        </w:tc>
      </w:tr>
      <w:tr w:rsidR="00682CE8" w:rsidRPr="00682CE8" w:rsidTr="002522AC">
        <w:trPr>
          <w:trHeight w:val="900"/>
        </w:trPr>
        <w:tc>
          <w:tcPr>
            <w:tcW w:w="498" w:type="dxa"/>
            <w:vMerge/>
            <w:vAlign w:val="center"/>
          </w:tcPr>
          <w:p w:rsidR="00682CE8" w:rsidRPr="00682CE8" w:rsidRDefault="00682CE8" w:rsidP="002522AC">
            <w:pPr>
              <w:rPr>
                <w:color w:val="000000"/>
              </w:rPr>
            </w:pPr>
          </w:p>
        </w:tc>
        <w:tc>
          <w:tcPr>
            <w:tcW w:w="3061" w:type="dxa"/>
            <w:shd w:val="clear" w:color="auto" w:fill="auto"/>
          </w:tcPr>
          <w:p w:rsidR="00682CE8" w:rsidRPr="00682CE8" w:rsidRDefault="00682CE8" w:rsidP="002522AC">
            <w:pPr>
              <w:rPr>
                <w:color w:val="000000"/>
              </w:rPr>
            </w:pPr>
            <w:r w:rsidRPr="00682CE8">
              <w:rPr>
                <w:b/>
                <w:color w:val="000000"/>
                <w:sz w:val="22"/>
                <w:szCs w:val="22"/>
              </w:rPr>
              <w:t>6 группа</w:t>
            </w:r>
            <w:r w:rsidRPr="00682CE8">
              <w:rPr>
                <w:color w:val="000000"/>
                <w:sz w:val="22"/>
                <w:szCs w:val="22"/>
              </w:rPr>
              <w:t xml:space="preserve"> Финансовые условия сделки</w:t>
            </w:r>
            <w:r w:rsidRPr="00682CE8">
              <w:rPr>
                <w:color w:val="000000"/>
                <w:sz w:val="22"/>
                <w:szCs w:val="22"/>
              </w:rPr>
              <w:br/>
              <w:t>- авансовые платежи есть/нет</w:t>
            </w:r>
            <w:r w:rsidRPr="00682CE8">
              <w:rPr>
                <w:color w:val="000000"/>
                <w:sz w:val="22"/>
                <w:szCs w:val="22"/>
              </w:rPr>
              <w:br/>
              <w:t>- обеспечение (банковская гарантия)</w:t>
            </w:r>
          </w:p>
        </w:tc>
        <w:tc>
          <w:tcPr>
            <w:tcW w:w="606" w:type="dxa"/>
            <w:shd w:val="clear" w:color="auto" w:fill="auto"/>
            <w:vAlign w:val="center"/>
          </w:tcPr>
          <w:p w:rsidR="00682CE8" w:rsidRPr="00682CE8" w:rsidRDefault="00682CE8" w:rsidP="002522AC">
            <w:pPr>
              <w:jc w:val="center"/>
              <w:rPr>
                <w:color w:val="000000"/>
              </w:rPr>
            </w:pPr>
            <w:r w:rsidRPr="00682CE8">
              <w:rPr>
                <w:color w:val="000000"/>
                <w:sz w:val="22"/>
                <w:szCs w:val="22"/>
              </w:rPr>
              <w:t>0,23</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 </w:t>
            </w:r>
          </w:p>
        </w:tc>
        <w:tc>
          <w:tcPr>
            <w:tcW w:w="866" w:type="dxa"/>
            <w:shd w:val="clear" w:color="auto" w:fill="auto"/>
            <w:noWrap/>
            <w:vAlign w:val="center"/>
          </w:tcPr>
          <w:p w:rsidR="00682CE8" w:rsidRPr="00682CE8" w:rsidRDefault="00682CE8" w:rsidP="002522AC">
            <w:pPr>
              <w:jc w:val="right"/>
              <w:rPr>
                <w:i/>
                <w:color w:val="000000"/>
                <w:sz w:val="20"/>
                <w:szCs w:val="20"/>
              </w:rPr>
            </w:pPr>
            <w:r w:rsidRPr="00682CE8">
              <w:rPr>
                <w:i/>
                <w:color w:val="000000"/>
                <w:sz w:val="20"/>
                <w:szCs w:val="20"/>
              </w:rPr>
              <w:t>100%</w:t>
            </w:r>
          </w:p>
        </w:tc>
        <w:tc>
          <w:tcPr>
            <w:tcW w:w="1300" w:type="dxa"/>
            <w:shd w:val="clear" w:color="auto" w:fill="auto"/>
            <w:noWrap/>
            <w:vAlign w:val="center"/>
          </w:tcPr>
          <w:p w:rsidR="00682CE8" w:rsidRPr="00682CE8" w:rsidRDefault="00682CE8" w:rsidP="002522AC">
            <w:pPr>
              <w:jc w:val="right"/>
              <w:rPr>
                <w:color w:val="000000"/>
              </w:rPr>
            </w:pPr>
            <w:r w:rsidRPr="00682CE8">
              <w:rPr>
                <w:color w:val="000000"/>
                <w:sz w:val="22"/>
                <w:szCs w:val="22"/>
              </w:rPr>
              <w:t>0,23</w:t>
            </w:r>
          </w:p>
        </w:tc>
      </w:tr>
      <w:tr w:rsidR="00682CE8" w:rsidRPr="00682CE8" w:rsidTr="002522AC">
        <w:trPr>
          <w:trHeight w:val="300"/>
        </w:trPr>
        <w:tc>
          <w:tcPr>
            <w:tcW w:w="498" w:type="dxa"/>
            <w:shd w:val="clear" w:color="auto" w:fill="auto"/>
            <w:textDirection w:val="btLr"/>
            <w:vAlign w:val="bottom"/>
          </w:tcPr>
          <w:p w:rsidR="00682CE8" w:rsidRPr="00682CE8" w:rsidRDefault="00682CE8" w:rsidP="002522AC">
            <w:pPr>
              <w:rPr>
                <w:color w:val="000000"/>
              </w:rPr>
            </w:pPr>
            <w:r w:rsidRPr="00682CE8">
              <w:rPr>
                <w:color w:val="000000"/>
                <w:sz w:val="22"/>
                <w:szCs w:val="22"/>
              </w:rPr>
              <w:t> </w:t>
            </w:r>
          </w:p>
        </w:tc>
        <w:tc>
          <w:tcPr>
            <w:tcW w:w="3061" w:type="dxa"/>
            <w:shd w:val="clear" w:color="auto" w:fill="auto"/>
          </w:tcPr>
          <w:p w:rsidR="00682CE8" w:rsidRPr="00682CE8" w:rsidRDefault="00682CE8" w:rsidP="002522AC">
            <w:pPr>
              <w:rPr>
                <w:color w:val="000000"/>
              </w:rPr>
            </w:pPr>
            <w:r w:rsidRPr="00682CE8">
              <w:rPr>
                <w:color w:val="000000"/>
                <w:sz w:val="22"/>
                <w:szCs w:val="22"/>
              </w:rPr>
              <w:t>Константа*</w:t>
            </w:r>
          </w:p>
        </w:tc>
        <w:tc>
          <w:tcPr>
            <w:tcW w:w="606" w:type="dxa"/>
            <w:shd w:val="clear" w:color="auto" w:fill="auto"/>
            <w:vAlign w:val="center"/>
          </w:tcPr>
          <w:p w:rsidR="00682CE8" w:rsidRPr="00682CE8" w:rsidRDefault="00682CE8" w:rsidP="002522AC">
            <w:pPr>
              <w:jc w:val="center"/>
              <w:rPr>
                <w:color w:val="000000"/>
              </w:rPr>
            </w:pPr>
            <w:r w:rsidRPr="00682CE8">
              <w:rPr>
                <w:color w:val="000000"/>
                <w:sz w:val="22"/>
                <w:szCs w:val="22"/>
              </w:rPr>
              <w:t>-0,37</w:t>
            </w:r>
          </w:p>
        </w:tc>
        <w:tc>
          <w:tcPr>
            <w:tcW w:w="2864" w:type="dxa"/>
            <w:shd w:val="clear" w:color="auto" w:fill="auto"/>
          </w:tcPr>
          <w:p w:rsidR="00682CE8" w:rsidRPr="00682CE8" w:rsidRDefault="00682CE8" w:rsidP="002522AC">
            <w:pPr>
              <w:rPr>
                <w:i/>
                <w:color w:val="000000"/>
                <w:sz w:val="20"/>
                <w:szCs w:val="20"/>
              </w:rPr>
            </w:pPr>
            <w:r w:rsidRPr="00682CE8">
              <w:rPr>
                <w:i/>
                <w:color w:val="000000"/>
                <w:sz w:val="20"/>
                <w:szCs w:val="20"/>
              </w:rPr>
              <w:t> </w:t>
            </w:r>
          </w:p>
        </w:tc>
        <w:tc>
          <w:tcPr>
            <w:tcW w:w="866" w:type="dxa"/>
            <w:shd w:val="clear" w:color="auto" w:fill="auto"/>
            <w:noWrap/>
            <w:vAlign w:val="bottom"/>
          </w:tcPr>
          <w:p w:rsidR="00682CE8" w:rsidRPr="00682CE8" w:rsidRDefault="00682CE8" w:rsidP="002522AC">
            <w:pPr>
              <w:rPr>
                <w:i/>
                <w:color w:val="000000"/>
                <w:sz w:val="20"/>
                <w:szCs w:val="20"/>
              </w:rPr>
            </w:pPr>
            <w:r w:rsidRPr="00682CE8">
              <w:rPr>
                <w:i/>
                <w:color w:val="000000"/>
                <w:sz w:val="20"/>
                <w:szCs w:val="20"/>
              </w:rPr>
              <w:t> </w:t>
            </w:r>
          </w:p>
        </w:tc>
        <w:tc>
          <w:tcPr>
            <w:tcW w:w="1300" w:type="dxa"/>
            <w:shd w:val="clear" w:color="auto" w:fill="auto"/>
            <w:noWrap/>
            <w:vAlign w:val="bottom"/>
          </w:tcPr>
          <w:p w:rsidR="00682CE8" w:rsidRPr="00682CE8" w:rsidRDefault="00682CE8" w:rsidP="002522AC">
            <w:pPr>
              <w:jc w:val="right"/>
              <w:rPr>
                <w:color w:val="000000"/>
              </w:rPr>
            </w:pPr>
            <w:r w:rsidRPr="00682CE8">
              <w:rPr>
                <w:color w:val="000000"/>
                <w:sz w:val="22"/>
                <w:szCs w:val="22"/>
              </w:rPr>
              <w:t>-0,37</w:t>
            </w:r>
          </w:p>
        </w:tc>
      </w:tr>
    </w:tbl>
    <w:p w:rsidR="00682CE8" w:rsidRPr="00682CE8" w:rsidRDefault="00682CE8" w:rsidP="00682CE8">
      <w:pPr>
        <w:tabs>
          <w:tab w:val="num" w:pos="1584"/>
        </w:tabs>
        <w:jc w:val="both"/>
        <w:rPr>
          <w:i/>
          <w:sz w:val="20"/>
          <w:szCs w:val="20"/>
        </w:rPr>
      </w:pPr>
      <w:r w:rsidRPr="00682CE8">
        <w:rPr>
          <w:i/>
          <w:sz w:val="20"/>
          <w:szCs w:val="20"/>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682CE8">
        <w:rPr>
          <w:i/>
          <w:sz w:val="20"/>
          <w:szCs w:val="20"/>
          <w:lang w:val="en-US"/>
        </w:rPr>
        <w:t>MSExcel</w:t>
      </w:r>
      <w:r w:rsidRPr="00682CE8">
        <w:rPr>
          <w:i/>
          <w:sz w:val="20"/>
          <w:szCs w:val="20"/>
        </w:rPr>
        <w:t xml:space="preserve"> наиболее точное решение было получено при ненулевой константе</w:t>
      </w:r>
    </w:p>
    <w:p w:rsidR="00682CE8" w:rsidRPr="00682CE8" w:rsidRDefault="00682CE8" w:rsidP="00682CE8">
      <w:pPr>
        <w:numPr>
          <w:ilvl w:val="1"/>
          <w:numId w:val="5"/>
        </w:numPr>
        <w:spacing w:before="120" w:after="120"/>
        <w:jc w:val="both"/>
      </w:pPr>
      <w:r w:rsidRPr="00682CE8">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rsidR="00682CE8" w:rsidRPr="00682CE8" w:rsidRDefault="00682CE8" w:rsidP="00682CE8">
      <w:pPr>
        <w:spacing w:before="120" w:after="120"/>
        <w:jc w:val="both"/>
      </w:pPr>
    </w:p>
    <w:p w:rsidR="00682CE8" w:rsidRPr="00682CE8" w:rsidRDefault="00682CE8" w:rsidP="00682CE8">
      <w:pPr>
        <w:pStyle w:val="1"/>
        <w:numPr>
          <w:ilvl w:val="0"/>
          <w:numId w:val="5"/>
        </w:numPr>
        <w:tabs>
          <w:tab w:val="left" w:pos="540"/>
        </w:tabs>
        <w:ind w:left="540" w:hanging="540"/>
        <w:rPr>
          <w:rFonts w:ascii="Times New Roman" w:hAnsi="Times New Roman" w:cs="Times New Roman"/>
          <w:sz w:val="24"/>
          <w:szCs w:val="24"/>
        </w:rPr>
      </w:pPr>
      <w:bookmarkStart w:id="73" w:name="_Toc326066018"/>
      <w:bookmarkStart w:id="74" w:name="_Toc326066288"/>
      <w:bookmarkStart w:id="75" w:name="_Toc326067319"/>
      <w:bookmarkStart w:id="76" w:name="_Toc326077654"/>
      <w:bookmarkStart w:id="77" w:name="_Toc322961183"/>
      <w:r w:rsidRPr="00682CE8">
        <w:rPr>
          <w:rFonts w:ascii="Times New Roman" w:hAnsi="Times New Roman" w:cs="Times New Roman"/>
          <w:sz w:val="24"/>
          <w:szCs w:val="24"/>
        </w:rPr>
        <w:t>Отборочная стадия</w:t>
      </w:r>
      <w:bookmarkEnd w:id="73"/>
      <w:bookmarkEnd w:id="74"/>
      <w:bookmarkEnd w:id="75"/>
      <w:bookmarkEnd w:id="76"/>
      <w:bookmarkEnd w:id="77"/>
    </w:p>
    <w:p w:rsidR="00682CE8" w:rsidRPr="00682CE8" w:rsidRDefault="00682CE8" w:rsidP="00682CE8">
      <w:pPr>
        <w:numPr>
          <w:ilvl w:val="1"/>
          <w:numId w:val="5"/>
        </w:numPr>
        <w:spacing w:before="120" w:after="120"/>
        <w:jc w:val="both"/>
      </w:pPr>
      <w:bookmarkStart w:id="78" w:name="_Ref186543939"/>
      <w:r w:rsidRPr="00682CE8">
        <w:t xml:space="preserve">Первичная оценка по шкале от 0 до 1, полученная в результате применения </w:t>
      </w:r>
      <w:proofErr w:type="spellStart"/>
      <w:r w:rsidRPr="00682CE8">
        <w:t>балльно</w:t>
      </w:r>
      <w:proofErr w:type="spellEnd"/>
      <w:r w:rsidRPr="00682CE8">
        <w:t xml:space="preserve">-весового метода, используется на отборочной стадии для принятия решения о соответствии/несоответствии участника закупочной процедуры </w:t>
      </w:r>
      <w:r w:rsidRPr="00682CE8">
        <w:lastRenderedPageBreak/>
        <w:t>требованиям закупочной документации и настоящей Методики, а именно участник должен:</w:t>
      </w:r>
    </w:p>
    <w:p w:rsidR="00682CE8" w:rsidRPr="00682CE8" w:rsidRDefault="00682CE8" w:rsidP="00682CE8">
      <w:pPr>
        <w:numPr>
          <w:ilvl w:val="0"/>
          <w:numId w:val="6"/>
        </w:numPr>
        <w:jc w:val="both"/>
      </w:pPr>
      <w:r w:rsidRPr="00682CE8">
        <w:t>обладать достаточной финансовой устойчивостью;</w:t>
      </w:r>
    </w:p>
    <w:p w:rsidR="00682CE8" w:rsidRPr="00682CE8" w:rsidRDefault="00682CE8" w:rsidP="00682CE8">
      <w:pPr>
        <w:numPr>
          <w:ilvl w:val="0"/>
          <w:numId w:val="6"/>
        </w:numPr>
        <w:jc w:val="both"/>
      </w:pPr>
      <w:r w:rsidRPr="00682CE8">
        <w:t>иметь достаточно продолжительную историю существования и релевантный опыт, в оценке с точки зрения финансово-экономических критериев;</w:t>
      </w:r>
    </w:p>
    <w:p w:rsidR="00682CE8" w:rsidRPr="00682CE8" w:rsidRDefault="00682CE8" w:rsidP="00682CE8">
      <w:pPr>
        <w:numPr>
          <w:ilvl w:val="0"/>
          <w:numId w:val="6"/>
        </w:numPr>
        <w:jc w:val="both"/>
      </w:pPr>
      <w:r w:rsidRPr="00682CE8">
        <w:t>иметь необходимые финансовые ресурсы;</w:t>
      </w:r>
    </w:p>
    <w:p w:rsidR="00682CE8" w:rsidRPr="00682CE8" w:rsidRDefault="00682CE8" w:rsidP="00682CE8">
      <w:pPr>
        <w:numPr>
          <w:ilvl w:val="0"/>
          <w:numId w:val="6"/>
        </w:numPr>
        <w:jc w:val="both"/>
      </w:pPr>
      <w:r w:rsidRPr="00682CE8">
        <w:t>оценка финансовых условий сделки (наличие/отсутствие аванса, банковской гарантии) должна обеспечить минимизацию принимаемых кредитных рисков.</w:t>
      </w:r>
    </w:p>
    <w:p w:rsidR="00682CE8" w:rsidRPr="00682CE8" w:rsidRDefault="00682CE8" w:rsidP="00682CE8">
      <w:pPr>
        <w:numPr>
          <w:ilvl w:val="1"/>
          <w:numId w:val="5"/>
        </w:numPr>
        <w:spacing w:before="120" w:after="120"/>
        <w:jc w:val="both"/>
      </w:pPr>
      <w:r w:rsidRPr="00682CE8">
        <w:t xml:space="preserve">Настоящей Методикой устанавливается, что предложение участников закупочной процедуры, набравших в результате применения </w:t>
      </w:r>
      <w:proofErr w:type="spellStart"/>
      <w:r w:rsidRPr="00682CE8">
        <w:t>балльно</w:t>
      </w:r>
      <w:proofErr w:type="spellEnd"/>
      <w:r w:rsidRPr="00682CE8">
        <w:t>-весового подхода менее 0,45 баллов по шкале от 0 до 1, должно быть рекомендовано 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rsidR="00682CE8" w:rsidRPr="00682CE8" w:rsidRDefault="00682CE8" w:rsidP="00682CE8">
      <w:pPr>
        <w:numPr>
          <w:ilvl w:val="1"/>
          <w:numId w:val="5"/>
        </w:numPr>
        <w:spacing w:before="120" w:after="120"/>
        <w:jc w:val="both"/>
      </w:pPr>
      <w:r w:rsidRPr="00682CE8">
        <w:t>Кроме этого для принятия решения о соответствии/несоответствии используется система стоп и риск-факторов.</w:t>
      </w:r>
    </w:p>
    <w:p w:rsidR="00682CE8" w:rsidRPr="00682CE8" w:rsidRDefault="00682CE8" w:rsidP="00682CE8">
      <w:pPr>
        <w:ind w:left="709"/>
        <w:jc w:val="both"/>
      </w:pPr>
      <w:r w:rsidRPr="00682CE8">
        <w:rPr>
          <w:b/>
        </w:rPr>
        <w:t>Стоп-фактор</w:t>
      </w:r>
      <w:r w:rsidRPr="00682CE8">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rsidR="00682CE8" w:rsidRPr="00682CE8" w:rsidRDefault="00682CE8" w:rsidP="00682CE8">
      <w:pPr>
        <w:numPr>
          <w:ilvl w:val="0"/>
          <w:numId w:val="6"/>
        </w:numPr>
        <w:jc w:val="both"/>
      </w:pPr>
      <w:r w:rsidRPr="00682CE8">
        <w:t>существенное несоответствие масштабов деятельности участника закупочной процедуры сумме закупки (если стоимость предложения, указанная в оферте, более чем в 1,4 раза превышает годовую выручку компании или более чем в 2,8 раза превосходит ее суммарные активы);</w:t>
      </w:r>
    </w:p>
    <w:p w:rsidR="00682CE8" w:rsidRPr="00682CE8" w:rsidRDefault="00682CE8" w:rsidP="00682CE8">
      <w:pPr>
        <w:numPr>
          <w:ilvl w:val="0"/>
          <w:numId w:val="6"/>
        </w:numPr>
        <w:jc w:val="both"/>
      </w:pPr>
      <w:r w:rsidRPr="00682CE8">
        <w:t>отрицательное значение 3-го раздела баланса (капитал и резервы) на последнюю отчетную дату;</w:t>
      </w:r>
    </w:p>
    <w:p w:rsidR="00682CE8" w:rsidRPr="00682CE8" w:rsidRDefault="00682CE8" w:rsidP="00682CE8">
      <w:pPr>
        <w:numPr>
          <w:ilvl w:val="0"/>
          <w:numId w:val="6"/>
        </w:numPr>
        <w:jc w:val="both"/>
      </w:pPr>
      <w:r w:rsidRPr="00682CE8">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p>
    <w:p w:rsidR="00682CE8" w:rsidRPr="00682CE8" w:rsidRDefault="00682CE8" w:rsidP="00682CE8">
      <w:pPr>
        <w:ind w:left="709"/>
        <w:jc w:val="both"/>
      </w:pPr>
      <w:r w:rsidRPr="00682CE8">
        <w:rPr>
          <w:b/>
        </w:rPr>
        <w:t>Риск-фактор</w:t>
      </w:r>
      <w:r w:rsidRPr="00682CE8">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rsidR="00682CE8" w:rsidRPr="00682CE8" w:rsidRDefault="00682CE8" w:rsidP="00682CE8">
      <w:pPr>
        <w:numPr>
          <w:ilvl w:val="0"/>
          <w:numId w:val="7"/>
        </w:numPr>
        <w:ind w:left="1418"/>
        <w:jc w:val="both"/>
      </w:pPr>
      <w:r w:rsidRPr="00682CE8">
        <w:t>непокрытый убыток в балансе на последнюю отчетную дату;</w:t>
      </w:r>
    </w:p>
    <w:p w:rsidR="00682CE8" w:rsidRPr="00682CE8" w:rsidRDefault="00682CE8" w:rsidP="00682CE8">
      <w:pPr>
        <w:numPr>
          <w:ilvl w:val="0"/>
          <w:numId w:val="7"/>
        </w:numPr>
        <w:ind w:left="1418"/>
        <w:jc w:val="both"/>
      </w:pPr>
      <w:r w:rsidRPr="00682CE8">
        <w:t>убытки за последний отчетный период или по итогам последнего года;</w:t>
      </w:r>
    </w:p>
    <w:p w:rsidR="00682CE8" w:rsidRPr="00682CE8" w:rsidRDefault="00682CE8" w:rsidP="00682CE8">
      <w:pPr>
        <w:numPr>
          <w:ilvl w:val="0"/>
          <w:numId w:val="7"/>
        </w:numPr>
        <w:ind w:left="1418"/>
        <w:jc w:val="both"/>
      </w:pPr>
      <w:r w:rsidRPr="00682CE8">
        <w:t>срок существования компании менее года;</w:t>
      </w:r>
    </w:p>
    <w:p w:rsidR="00682CE8" w:rsidRPr="00682CE8" w:rsidRDefault="00682CE8" w:rsidP="00682CE8">
      <w:pPr>
        <w:numPr>
          <w:ilvl w:val="0"/>
          <w:numId w:val="7"/>
        </w:numPr>
        <w:ind w:left="1418"/>
        <w:jc w:val="both"/>
      </w:pPr>
      <w:r w:rsidRPr="00682CE8">
        <w:t>сделка является достаточно крупной для участника закупочной процедуры (если стоимость предложения, указанная в оферте, превышает 80% годовой выручки компании или более чем в 1,6 раз превосходит величину ее суммарных активов);</w:t>
      </w:r>
    </w:p>
    <w:p w:rsidR="00682CE8" w:rsidRPr="00682CE8" w:rsidRDefault="00682CE8" w:rsidP="00682CE8">
      <w:pPr>
        <w:numPr>
          <w:ilvl w:val="0"/>
          <w:numId w:val="7"/>
        </w:numPr>
        <w:ind w:left="1418"/>
        <w:jc w:val="both"/>
      </w:pPr>
      <w:r w:rsidRPr="00682CE8">
        <w:t>если договором предусматривается выплата аванса без покрытия банковской гарантией.</w:t>
      </w:r>
    </w:p>
    <w:p w:rsidR="00682CE8" w:rsidRPr="00682CE8" w:rsidRDefault="00682CE8" w:rsidP="00682CE8">
      <w:pPr>
        <w:numPr>
          <w:ilvl w:val="1"/>
          <w:numId w:val="5"/>
        </w:numPr>
        <w:spacing w:before="120" w:after="120"/>
        <w:jc w:val="both"/>
      </w:pPr>
      <w:r w:rsidRPr="00682CE8">
        <w:t xml:space="preserve">На основе совместного применения </w:t>
      </w:r>
      <w:proofErr w:type="spellStart"/>
      <w:r w:rsidRPr="00682CE8">
        <w:t>балльно</w:t>
      </w:r>
      <w:proofErr w:type="spellEnd"/>
      <w:r w:rsidRPr="00682CE8">
        <w:t>-весового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rsidR="00682CE8" w:rsidRPr="00682CE8" w:rsidRDefault="00682CE8" w:rsidP="00682CE8">
      <w:pPr>
        <w:jc w:val="right"/>
      </w:pPr>
      <w:r w:rsidRPr="00682CE8">
        <w:t>Таблица алгоритм</w:t>
      </w:r>
    </w:p>
    <w:tbl>
      <w:tblPr>
        <w:tblW w:w="97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6443"/>
      </w:tblGrid>
      <w:tr w:rsidR="00682CE8" w:rsidRPr="00682CE8" w:rsidTr="002522AC">
        <w:trPr>
          <w:trHeight w:val="542"/>
        </w:trPr>
        <w:tc>
          <w:tcPr>
            <w:tcW w:w="3276" w:type="dxa"/>
            <w:shd w:val="clear" w:color="auto" w:fill="auto"/>
            <w:noWrap/>
            <w:vAlign w:val="center"/>
          </w:tcPr>
          <w:p w:rsidR="00682CE8" w:rsidRPr="00682CE8" w:rsidRDefault="00682CE8" w:rsidP="002522AC">
            <w:pPr>
              <w:jc w:val="center"/>
              <w:rPr>
                <w:color w:val="000000"/>
              </w:rPr>
            </w:pPr>
            <w:r w:rsidRPr="00682CE8">
              <w:rPr>
                <w:color w:val="000000"/>
                <w:sz w:val="22"/>
                <w:szCs w:val="22"/>
              </w:rPr>
              <w:lastRenderedPageBreak/>
              <w:t>Решение о соответствии/несоответствии</w:t>
            </w:r>
          </w:p>
        </w:tc>
        <w:tc>
          <w:tcPr>
            <w:tcW w:w="6443" w:type="dxa"/>
            <w:shd w:val="clear" w:color="auto" w:fill="auto"/>
            <w:noWrap/>
            <w:vAlign w:val="center"/>
          </w:tcPr>
          <w:p w:rsidR="00682CE8" w:rsidRPr="00682CE8" w:rsidRDefault="00682CE8" w:rsidP="002522AC">
            <w:pPr>
              <w:jc w:val="center"/>
              <w:rPr>
                <w:color w:val="000000"/>
              </w:rPr>
            </w:pPr>
            <w:r w:rsidRPr="00682CE8">
              <w:rPr>
                <w:color w:val="000000"/>
                <w:sz w:val="22"/>
                <w:szCs w:val="22"/>
              </w:rPr>
              <w:t>Описание</w:t>
            </w:r>
          </w:p>
        </w:tc>
      </w:tr>
      <w:tr w:rsidR="00682CE8" w:rsidRPr="00682CE8" w:rsidTr="002522AC">
        <w:trPr>
          <w:trHeight w:val="576"/>
        </w:trPr>
        <w:tc>
          <w:tcPr>
            <w:tcW w:w="3276" w:type="dxa"/>
            <w:shd w:val="clear" w:color="000000" w:fill="FFE5E5"/>
            <w:noWrap/>
            <w:vAlign w:val="center"/>
          </w:tcPr>
          <w:p w:rsidR="00682CE8" w:rsidRPr="00682CE8" w:rsidRDefault="00682CE8" w:rsidP="002522AC">
            <w:pPr>
              <w:rPr>
                <w:color w:val="000000"/>
              </w:rPr>
            </w:pPr>
            <w:r w:rsidRPr="00682CE8">
              <w:rPr>
                <w:color w:val="000000"/>
                <w:sz w:val="22"/>
                <w:szCs w:val="22"/>
              </w:rPr>
              <w:t>Не соответствует</w:t>
            </w:r>
          </w:p>
        </w:tc>
        <w:tc>
          <w:tcPr>
            <w:tcW w:w="6443" w:type="dxa"/>
            <w:shd w:val="clear" w:color="000000" w:fill="FFE5E5"/>
            <w:noWrap/>
          </w:tcPr>
          <w:p w:rsidR="00682CE8" w:rsidRPr="00682CE8" w:rsidRDefault="00682CE8" w:rsidP="002522AC">
            <w:pPr>
              <w:jc w:val="both"/>
              <w:rPr>
                <w:color w:val="000000"/>
              </w:rPr>
            </w:pPr>
            <w:r w:rsidRPr="00682CE8">
              <w:rPr>
                <w:color w:val="000000"/>
                <w:sz w:val="22"/>
                <w:szCs w:val="22"/>
              </w:rPr>
              <w:t xml:space="preserve">Первичная оценка </w:t>
            </w:r>
            <w:r w:rsidRPr="00682CE8">
              <w:rPr>
                <w:b/>
                <w:color w:val="000000"/>
                <w:sz w:val="22"/>
                <w:szCs w:val="22"/>
              </w:rPr>
              <w:t>менее 0,45 баллов</w:t>
            </w:r>
            <w:r w:rsidRPr="00682CE8">
              <w:rPr>
                <w:color w:val="000000"/>
                <w:sz w:val="22"/>
                <w:szCs w:val="22"/>
              </w:rPr>
              <w:t xml:space="preserve"> (по шкале от 0 до 1) или имеются стоп-факторы</w:t>
            </w:r>
          </w:p>
        </w:tc>
      </w:tr>
      <w:tr w:rsidR="00682CE8" w:rsidRPr="00682CE8" w:rsidTr="002522AC">
        <w:trPr>
          <w:trHeight w:val="1111"/>
        </w:trPr>
        <w:tc>
          <w:tcPr>
            <w:tcW w:w="3276" w:type="dxa"/>
            <w:shd w:val="clear" w:color="000000" w:fill="F8FFB9"/>
            <w:noWrap/>
            <w:vAlign w:val="center"/>
          </w:tcPr>
          <w:p w:rsidR="00682CE8" w:rsidRPr="00682CE8" w:rsidRDefault="00682CE8" w:rsidP="002522AC">
            <w:pPr>
              <w:rPr>
                <w:color w:val="000000"/>
              </w:rPr>
            </w:pPr>
            <w:r w:rsidRPr="00682CE8">
              <w:rPr>
                <w:color w:val="000000"/>
                <w:sz w:val="22"/>
                <w:szCs w:val="22"/>
              </w:rPr>
              <w:t>Пограничная ситуация (для принятия решения о соответствии/несоответствии требуется участие Эксперта)</w:t>
            </w:r>
          </w:p>
        </w:tc>
        <w:tc>
          <w:tcPr>
            <w:tcW w:w="6443" w:type="dxa"/>
            <w:shd w:val="clear" w:color="000000" w:fill="F8FFB9"/>
            <w:noWrap/>
          </w:tcPr>
          <w:p w:rsidR="00682CE8" w:rsidRPr="00682CE8" w:rsidRDefault="00682CE8" w:rsidP="002522AC">
            <w:pPr>
              <w:jc w:val="both"/>
              <w:rPr>
                <w:color w:val="000000"/>
              </w:rPr>
            </w:pPr>
            <w:r w:rsidRPr="00682CE8">
              <w:rPr>
                <w:color w:val="000000"/>
                <w:sz w:val="22"/>
                <w:szCs w:val="22"/>
              </w:rPr>
              <w:t xml:space="preserve">Первичная оценка </w:t>
            </w:r>
            <w:r w:rsidRPr="00682CE8">
              <w:rPr>
                <w:b/>
                <w:color w:val="000000"/>
                <w:sz w:val="22"/>
                <w:szCs w:val="22"/>
              </w:rPr>
              <w:t>от 0,45 до 0,5 баллов</w:t>
            </w:r>
            <w:r w:rsidRPr="00682CE8">
              <w:rPr>
                <w:color w:val="000000"/>
                <w:sz w:val="22"/>
                <w:szCs w:val="22"/>
              </w:rPr>
              <w:t xml:space="preserve"> (по шкале от 0 до 1) или имеется более двух риск-факторов, стоп-факторы при этом отсутствуют</w:t>
            </w:r>
          </w:p>
        </w:tc>
      </w:tr>
      <w:tr w:rsidR="00682CE8" w:rsidRPr="00682CE8" w:rsidTr="002522AC">
        <w:trPr>
          <w:trHeight w:val="556"/>
        </w:trPr>
        <w:tc>
          <w:tcPr>
            <w:tcW w:w="3276" w:type="dxa"/>
            <w:shd w:val="clear" w:color="000000" w:fill="C6FED1"/>
            <w:noWrap/>
            <w:vAlign w:val="center"/>
          </w:tcPr>
          <w:p w:rsidR="00682CE8" w:rsidRPr="00682CE8" w:rsidRDefault="00682CE8" w:rsidP="002522AC">
            <w:pPr>
              <w:rPr>
                <w:color w:val="000000"/>
              </w:rPr>
            </w:pPr>
            <w:r w:rsidRPr="00682CE8">
              <w:rPr>
                <w:color w:val="000000"/>
                <w:sz w:val="22"/>
                <w:szCs w:val="22"/>
              </w:rPr>
              <w:t>Соответствует</w:t>
            </w:r>
          </w:p>
        </w:tc>
        <w:tc>
          <w:tcPr>
            <w:tcW w:w="6443" w:type="dxa"/>
            <w:shd w:val="clear" w:color="000000" w:fill="C6FED1"/>
            <w:noWrap/>
          </w:tcPr>
          <w:p w:rsidR="00682CE8" w:rsidRPr="00682CE8" w:rsidRDefault="00682CE8" w:rsidP="002522AC">
            <w:pPr>
              <w:jc w:val="both"/>
              <w:rPr>
                <w:color w:val="000000"/>
              </w:rPr>
            </w:pPr>
            <w:r w:rsidRPr="00682CE8">
              <w:rPr>
                <w:color w:val="000000"/>
                <w:sz w:val="22"/>
                <w:szCs w:val="22"/>
              </w:rPr>
              <w:t xml:space="preserve">Первичная оценка </w:t>
            </w:r>
            <w:r w:rsidRPr="00682CE8">
              <w:rPr>
                <w:b/>
                <w:color w:val="000000"/>
                <w:sz w:val="22"/>
                <w:szCs w:val="22"/>
              </w:rPr>
              <w:t>более 0,5 баллов</w:t>
            </w:r>
            <w:r w:rsidRPr="00682CE8">
              <w:rPr>
                <w:color w:val="000000"/>
                <w:sz w:val="22"/>
                <w:szCs w:val="22"/>
              </w:rPr>
              <w:t xml:space="preserve"> (по шкале от 0 до 1), стоп-факторы отсутствуют, имеется не более двух риск-факторов</w:t>
            </w:r>
          </w:p>
        </w:tc>
      </w:tr>
    </w:tbl>
    <w:p w:rsidR="00682CE8" w:rsidRPr="00682CE8" w:rsidRDefault="00682CE8" w:rsidP="00682CE8">
      <w:pPr>
        <w:jc w:val="both"/>
      </w:pPr>
    </w:p>
    <w:p w:rsidR="00682CE8" w:rsidRPr="00682CE8" w:rsidRDefault="00682CE8" w:rsidP="00682CE8">
      <w:pPr>
        <w:numPr>
          <w:ilvl w:val="1"/>
          <w:numId w:val="5"/>
        </w:numPr>
        <w:spacing w:before="120" w:after="120"/>
        <w:jc w:val="both"/>
      </w:pPr>
      <w:r w:rsidRPr="00682CE8">
        <w:t xml:space="preserve">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закупочной документации, в том числе настоящей Методики. В случае если на основании применения </w:t>
      </w:r>
      <w:proofErr w:type="spellStart"/>
      <w:r w:rsidRPr="00682CE8">
        <w:t>балльно</w:t>
      </w:r>
      <w:proofErr w:type="spellEnd"/>
      <w:r w:rsidRPr="00682CE8">
        <w:t>-весового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rsidR="00682CE8" w:rsidRPr="00682CE8" w:rsidRDefault="00682CE8" w:rsidP="00682CE8">
      <w:pPr>
        <w:numPr>
          <w:ilvl w:val="1"/>
          <w:numId w:val="5"/>
        </w:numPr>
        <w:spacing w:before="120" w:after="120"/>
        <w:jc w:val="both"/>
      </w:pPr>
      <w:r w:rsidRPr="00682CE8">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p>
    <w:p w:rsidR="00682CE8" w:rsidRPr="00682CE8" w:rsidRDefault="00682CE8" w:rsidP="00682CE8">
      <w:pPr>
        <w:ind w:left="709"/>
        <w:jc w:val="both"/>
      </w:pPr>
    </w:p>
    <w:p w:rsidR="00682CE8" w:rsidRPr="00682CE8" w:rsidRDefault="00682CE8" w:rsidP="00682CE8">
      <w:pPr>
        <w:pStyle w:val="1"/>
        <w:numPr>
          <w:ilvl w:val="0"/>
          <w:numId w:val="5"/>
        </w:numPr>
        <w:tabs>
          <w:tab w:val="left" w:pos="540"/>
        </w:tabs>
        <w:spacing w:before="120" w:after="120"/>
        <w:rPr>
          <w:rFonts w:ascii="Times New Roman" w:hAnsi="Times New Roman" w:cs="Times New Roman"/>
          <w:sz w:val="24"/>
          <w:szCs w:val="24"/>
        </w:rPr>
      </w:pPr>
      <w:bookmarkStart w:id="79" w:name="_Toc314226186"/>
      <w:bookmarkStart w:id="80" w:name="_Toc322961184"/>
      <w:bookmarkStart w:id="81" w:name="_Toc326066019"/>
      <w:bookmarkStart w:id="82" w:name="_Toc326066289"/>
      <w:bookmarkStart w:id="83" w:name="_Toc326067320"/>
      <w:bookmarkStart w:id="84" w:name="_Toc326077655"/>
      <w:bookmarkEnd w:id="78"/>
      <w:r w:rsidRPr="00682CE8">
        <w:rPr>
          <w:rFonts w:ascii="Times New Roman" w:hAnsi="Times New Roman" w:cs="Times New Roman"/>
          <w:sz w:val="24"/>
          <w:szCs w:val="24"/>
        </w:rPr>
        <w:t>Оценочная стадия</w:t>
      </w:r>
      <w:bookmarkEnd w:id="79"/>
      <w:bookmarkEnd w:id="80"/>
      <w:bookmarkEnd w:id="81"/>
      <w:bookmarkEnd w:id="82"/>
      <w:bookmarkEnd w:id="83"/>
      <w:bookmarkEnd w:id="84"/>
    </w:p>
    <w:p w:rsidR="00682CE8" w:rsidRPr="00682CE8" w:rsidRDefault="00682CE8" w:rsidP="00682CE8">
      <w:pPr>
        <w:numPr>
          <w:ilvl w:val="1"/>
          <w:numId w:val="5"/>
        </w:numPr>
        <w:spacing w:before="120" w:after="120"/>
        <w:jc w:val="both"/>
      </w:pPr>
      <w:r w:rsidRPr="00682CE8">
        <w:t>На оценочной стадии финансово-экономической экспертизы предложения участников закупочной процедуры, прошедших отборочную стадию, ранжируются с учетом оценки их финансового состояния, качественной оценки бизнес-рисков, а также предлагаемых финансовых условий сделки.</w:t>
      </w:r>
    </w:p>
    <w:p w:rsidR="00682CE8" w:rsidRPr="00682CE8" w:rsidRDefault="00682CE8" w:rsidP="00682CE8">
      <w:pPr>
        <w:numPr>
          <w:ilvl w:val="1"/>
          <w:numId w:val="5"/>
        </w:numPr>
        <w:spacing w:before="120" w:after="120"/>
        <w:jc w:val="both"/>
      </w:pPr>
      <w:r w:rsidRPr="00682CE8">
        <w:t xml:space="preserve">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w:t>
      </w:r>
      <w:proofErr w:type="spellStart"/>
      <w:r w:rsidRPr="00682CE8">
        <w:t>балльно</w:t>
      </w:r>
      <w:proofErr w:type="spellEnd"/>
      <w:r w:rsidRPr="00682CE8">
        <w:t>-весового подхода.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переводом первичной шкалы от 0 до 1 в шкалу от 0 до 5 (Таблица перевода).</w:t>
      </w:r>
    </w:p>
    <w:p w:rsidR="00682CE8" w:rsidRPr="00682CE8" w:rsidRDefault="00682CE8" w:rsidP="00682CE8">
      <w:pPr>
        <w:spacing w:before="120" w:after="120"/>
        <w:ind w:left="792"/>
        <w:jc w:val="right"/>
      </w:pPr>
      <w:r w:rsidRPr="00682CE8">
        <w:t>Таблица перевода</w:t>
      </w:r>
    </w:p>
    <w:tbl>
      <w:tblPr>
        <w:tblW w:w="9611" w:type="dxa"/>
        <w:jc w:val="center"/>
        <w:tblInd w:w="-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2"/>
        <w:gridCol w:w="2122"/>
        <w:gridCol w:w="2976"/>
        <w:gridCol w:w="2111"/>
      </w:tblGrid>
      <w:tr w:rsidR="00682CE8" w:rsidRPr="00682CE8" w:rsidTr="002522AC">
        <w:trPr>
          <w:jc w:val="center"/>
        </w:trPr>
        <w:tc>
          <w:tcPr>
            <w:tcW w:w="2402" w:type="dxa"/>
          </w:tcPr>
          <w:p w:rsidR="00682CE8" w:rsidRPr="00682CE8" w:rsidRDefault="00682CE8" w:rsidP="002522AC">
            <w:pPr>
              <w:spacing w:after="60"/>
              <w:jc w:val="center"/>
              <w:rPr>
                <w:b/>
              </w:rPr>
            </w:pPr>
            <w:r w:rsidRPr="00682CE8">
              <w:rPr>
                <w:b/>
              </w:rPr>
              <w:t>Первичный балл (0-1)</w:t>
            </w:r>
          </w:p>
        </w:tc>
        <w:tc>
          <w:tcPr>
            <w:tcW w:w="2122" w:type="dxa"/>
            <w:vAlign w:val="center"/>
          </w:tcPr>
          <w:p w:rsidR="00682CE8" w:rsidRPr="00682CE8" w:rsidRDefault="00682CE8" w:rsidP="002522AC">
            <w:pPr>
              <w:spacing w:after="60"/>
              <w:jc w:val="center"/>
            </w:pPr>
            <w:r w:rsidRPr="00682CE8">
              <w:t>менее 0,45</w:t>
            </w:r>
          </w:p>
        </w:tc>
        <w:tc>
          <w:tcPr>
            <w:tcW w:w="2976" w:type="dxa"/>
            <w:vAlign w:val="center"/>
          </w:tcPr>
          <w:p w:rsidR="00682CE8" w:rsidRPr="00682CE8" w:rsidRDefault="00682CE8" w:rsidP="002522AC">
            <w:pPr>
              <w:spacing w:after="60"/>
              <w:jc w:val="center"/>
            </w:pPr>
            <w:r w:rsidRPr="00682CE8">
              <w:t>от 0,45 до 0,95</w:t>
            </w:r>
          </w:p>
        </w:tc>
        <w:tc>
          <w:tcPr>
            <w:tcW w:w="2111" w:type="dxa"/>
            <w:shd w:val="clear" w:color="auto" w:fill="auto"/>
            <w:vAlign w:val="center"/>
          </w:tcPr>
          <w:p w:rsidR="00682CE8" w:rsidRPr="00682CE8" w:rsidRDefault="00682CE8" w:rsidP="002522AC">
            <w:pPr>
              <w:spacing w:after="60"/>
              <w:jc w:val="center"/>
            </w:pPr>
            <w:r w:rsidRPr="00682CE8">
              <w:t>более 0,95</w:t>
            </w:r>
          </w:p>
        </w:tc>
      </w:tr>
      <w:tr w:rsidR="00682CE8" w:rsidRPr="00682CE8" w:rsidTr="002522AC">
        <w:trPr>
          <w:trHeight w:val="773"/>
          <w:jc w:val="center"/>
        </w:trPr>
        <w:tc>
          <w:tcPr>
            <w:tcW w:w="2402" w:type="dxa"/>
            <w:vAlign w:val="center"/>
          </w:tcPr>
          <w:p w:rsidR="00682CE8" w:rsidRPr="00682CE8" w:rsidRDefault="00682CE8" w:rsidP="002522AC">
            <w:pPr>
              <w:spacing w:after="60"/>
              <w:jc w:val="center"/>
              <w:rPr>
                <w:b/>
                <w:bCs/>
                <w:szCs w:val="28"/>
              </w:rPr>
            </w:pPr>
            <w:r w:rsidRPr="00682CE8">
              <w:rPr>
                <w:b/>
              </w:rPr>
              <w:t>Итоговая оценка (0-5)</w:t>
            </w:r>
          </w:p>
        </w:tc>
        <w:tc>
          <w:tcPr>
            <w:tcW w:w="2122" w:type="dxa"/>
            <w:vAlign w:val="center"/>
          </w:tcPr>
          <w:p w:rsidR="00682CE8" w:rsidRPr="00682CE8" w:rsidRDefault="00682CE8" w:rsidP="002522AC">
            <w:pPr>
              <w:spacing w:after="60"/>
              <w:jc w:val="center"/>
              <w:rPr>
                <w:bCs/>
                <w:szCs w:val="28"/>
              </w:rPr>
            </w:pPr>
            <w:r w:rsidRPr="00682CE8">
              <w:rPr>
                <w:bCs/>
                <w:szCs w:val="28"/>
              </w:rPr>
              <w:t>0</w:t>
            </w:r>
          </w:p>
        </w:tc>
        <w:tc>
          <w:tcPr>
            <w:tcW w:w="2976" w:type="dxa"/>
            <w:vAlign w:val="center"/>
          </w:tcPr>
          <w:p w:rsidR="00682CE8" w:rsidRPr="00682CE8" w:rsidRDefault="00682CE8" w:rsidP="002522AC">
            <w:pPr>
              <w:spacing w:after="60"/>
              <w:jc w:val="center"/>
              <w:rPr>
                <w:bCs/>
                <w:szCs w:val="28"/>
              </w:rPr>
            </w:pPr>
            <m:oMathPara>
              <m:oMath>
                <m:r>
                  <w:rPr>
                    <w:rFonts w:ascii="Cambria Math"/>
                    <w:lang w:val="en-US"/>
                  </w:rPr>
                  <m:t>ИО</m:t>
                </m:r>
                <m:r>
                  <w:rPr>
                    <w:rFonts w:ascii="Cambria Math"/>
                    <w:lang w:val="en-US"/>
                  </w:rPr>
                  <m:t>=5</m:t>
                </m:r>
                <m:r>
                  <w:rPr>
                    <w:rFonts w:ascii="Cambria Math" w:hAnsi="Cambria Math"/>
                    <w:lang w:val="en-US"/>
                  </w:rPr>
                  <m:t>*</m:t>
                </m:r>
                <m:sSup>
                  <m:sSupPr>
                    <m:ctrlPr>
                      <w:rPr>
                        <w:rFonts w:ascii="Cambria Math" w:eastAsia="Calibri" w:hAnsi="Cambria Math"/>
                        <w:i/>
                        <w:lang w:val="en-US" w:eastAsia="en-US"/>
                      </w:rPr>
                    </m:ctrlPr>
                  </m:sSupPr>
                  <m:e>
                    <m:f>
                      <m:fPr>
                        <m:ctrlPr>
                          <w:rPr>
                            <w:rFonts w:ascii="Cambria Math" w:eastAsia="Calibri" w:hAnsi="Cambria Math"/>
                            <w:i/>
                            <w:lang w:val="en-US" w:eastAsia="en-US"/>
                          </w:rPr>
                        </m:ctrlPr>
                      </m:fPr>
                      <m:num>
                        <m:r>
                          <w:rPr>
                            <w:rFonts w:ascii="Cambria Math"/>
                            <w:lang w:val="en-US"/>
                          </w:rPr>
                          <m:t>ПБ-</m:t>
                        </m:r>
                        <m:r>
                          <w:rPr>
                            <w:rFonts w:ascii="Cambria Math"/>
                            <w:lang w:val="en-US"/>
                          </w:rPr>
                          <m:t>0,45</m:t>
                        </m:r>
                      </m:num>
                      <m:den>
                        <m:r>
                          <w:rPr>
                            <w:rFonts w:ascii="Cambria Math"/>
                            <w:lang w:val="en-US"/>
                          </w:rPr>
                          <m:t>0,95</m:t>
                        </m:r>
                        <m:r>
                          <w:rPr>
                            <w:rFonts w:ascii="Cambria Math"/>
                            <w:lang w:val="en-US"/>
                          </w:rPr>
                          <m:t>-</m:t>
                        </m:r>
                        <m:r>
                          <w:rPr>
                            <w:rFonts w:ascii="Cambria Math"/>
                            <w:lang w:val="en-US"/>
                          </w:rPr>
                          <m:t>0,45</m:t>
                        </m:r>
                      </m:den>
                    </m:f>
                  </m:e>
                  <m:sup>
                    <m:r>
                      <w:rPr>
                        <w:rFonts w:ascii="Cambria Math" w:hAnsi="Cambria Math"/>
                        <w:lang w:val="en-US"/>
                      </w:rPr>
                      <m:t>*</m:t>
                    </m:r>
                  </m:sup>
                </m:sSup>
              </m:oMath>
            </m:oMathPara>
          </w:p>
        </w:tc>
        <w:tc>
          <w:tcPr>
            <w:tcW w:w="2111" w:type="dxa"/>
            <w:shd w:val="clear" w:color="auto" w:fill="auto"/>
            <w:vAlign w:val="center"/>
          </w:tcPr>
          <w:p w:rsidR="00682CE8" w:rsidRPr="00682CE8" w:rsidRDefault="00682CE8" w:rsidP="002522AC">
            <w:pPr>
              <w:spacing w:after="60"/>
              <w:jc w:val="center"/>
            </w:pPr>
            <w:r w:rsidRPr="00682CE8">
              <w:rPr>
                <w:sz w:val="22"/>
                <w:szCs w:val="22"/>
              </w:rPr>
              <w:t>5</w:t>
            </w:r>
          </w:p>
        </w:tc>
      </w:tr>
    </w:tbl>
    <w:p w:rsidR="00682CE8" w:rsidRPr="00682CE8" w:rsidRDefault="00682CE8" w:rsidP="00682CE8">
      <w:pPr>
        <w:spacing w:before="120" w:after="120"/>
        <w:ind w:left="792"/>
        <w:rPr>
          <w:i/>
          <w:sz w:val="20"/>
          <w:szCs w:val="20"/>
        </w:rPr>
      </w:pPr>
      <w:r w:rsidRPr="00682CE8">
        <w:rPr>
          <w:i/>
          <w:sz w:val="20"/>
          <w:szCs w:val="20"/>
        </w:rPr>
        <w:t>*ИО – итоговая оценка; ПБ – первичный балл. Итоговая оценка округляется с точностью до одного знака после запятой.</w:t>
      </w:r>
    </w:p>
    <w:p w:rsidR="00682CE8" w:rsidRPr="00682CE8" w:rsidRDefault="00682CE8" w:rsidP="00682CE8">
      <w:pPr>
        <w:spacing w:before="120" w:after="120"/>
        <w:ind w:left="792"/>
        <w:rPr>
          <w:i/>
          <w:sz w:val="20"/>
          <w:szCs w:val="20"/>
        </w:rPr>
      </w:pPr>
    </w:p>
    <w:p w:rsidR="00682CE8" w:rsidRPr="00682CE8" w:rsidRDefault="00682CE8" w:rsidP="00682CE8">
      <w:pPr>
        <w:numPr>
          <w:ilvl w:val="1"/>
          <w:numId w:val="5"/>
        </w:numPr>
        <w:spacing w:before="120" w:after="120"/>
        <w:jc w:val="both"/>
      </w:pPr>
      <w:r w:rsidRPr="00682CE8">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p w:rsidR="00682CE8" w:rsidRPr="00682CE8" w:rsidRDefault="00682CE8" w:rsidP="00682CE8">
      <w:pPr>
        <w:spacing w:before="120" w:after="120"/>
        <w:ind w:left="792"/>
        <w:jc w:val="both"/>
      </w:pPr>
    </w:p>
    <w:tbl>
      <w:tblPr>
        <w:tblW w:w="9611" w:type="dxa"/>
        <w:jc w:val="center"/>
        <w:tblInd w:w="-1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7"/>
        <w:gridCol w:w="1287"/>
        <w:gridCol w:w="3260"/>
        <w:gridCol w:w="3517"/>
      </w:tblGrid>
      <w:tr w:rsidR="00682CE8" w:rsidRPr="00682CE8" w:rsidTr="002522AC">
        <w:trPr>
          <w:jc w:val="center"/>
        </w:trPr>
        <w:tc>
          <w:tcPr>
            <w:tcW w:w="1547" w:type="dxa"/>
            <w:tcBorders>
              <w:bottom w:val="single" w:sz="4" w:space="0" w:color="auto"/>
            </w:tcBorders>
          </w:tcPr>
          <w:p w:rsidR="00682CE8" w:rsidRPr="00682CE8" w:rsidRDefault="00682CE8" w:rsidP="002522AC">
            <w:pPr>
              <w:spacing w:after="60"/>
              <w:jc w:val="center"/>
              <w:rPr>
                <w:b/>
              </w:rPr>
            </w:pPr>
            <w:r w:rsidRPr="00682CE8">
              <w:rPr>
                <w:b/>
              </w:rPr>
              <w:t>Первичный балл (0-1)</w:t>
            </w:r>
          </w:p>
        </w:tc>
        <w:tc>
          <w:tcPr>
            <w:tcW w:w="1287" w:type="dxa"/>
            <w:tcBorders>
              <w:bottom w:val="single" w:sz="4" w:space="0" w:color="auto"/>
            </w:tcBorders>
            <w:vAlign w:val="center"/>
          </w:tcPr>
          <w:p w:rsidR="00682CE8" w:rsidRPr="00682CE8" w:rsidRDefault="00682CE8" w:rsidP="002522AC">
            <w:pPr>
              <w:spacing w:after="60"/>
              <w:jc w:val="center"/>
              <w:rPr>
                <w:b/>
              </w:rPr>
            </w:pPr>
            <w:r w:rsidRPr="00682CE8">
              <w:rPr>
                <w:b/>
              </w:rPr>
              <w:t>Итоговая оценка (0-5)</w:t>
            </w:r>
          </w:p>
        </w:tc>
        <w:tc>
          <w:tcPr>
            <w:tcW w:w="3260" w:type="dxa"/>
            <w:tcBorders>
              <w:bottom w:val="single" w:sz="4" w:space="0" w:color="auto"/>
            </w:tcBorders>
            <w:vAlign w:val="center"/>
          </w:tcPr>
          <w:p w:rsidR="00682CE8" w:rsidRPr="00682CE8" w:rsidRDefault="00682CE8" w:rsidP="002522AC">
            <w:pPr>
              <w:spacing w:after="60"/>
              <w:jc w:val="center"/>
              <w:rPr>
                <w:b/>
              </w:rPr>
            </w:pPr>
            <w:r w:rsidRPr="00682CE8">
              <w:rPr>
                <w:b/>
              </w:rPr>
              <w:t>Соответствие Оценки уровню кредитного риска</w:t>
            </w:r>
          </w:p>
        </w:tc>
        <w:tc>
          <w:tcPr>
            <w:tcW w:w="3517" w:type="dxa"/>
            <w:tcBorders>
              <w:bottom w:val="single" w:sz="4" w:space="0" w:color="auto"/>
            </w:tcBorders>
            <w:shd w:val="clear" w:color="auto" w:fill="auto"/>
            <w:vAlign w:val="center"/>
          </w:tcPr>
          <w:p w:rsidR="00682CE8" w:rsidRPr="00682CE8" w:rsidRDefault="00682CE8" w:rsidP="002522AC">
            <w:pPr>
              <w:spacing w:after="60"/>
              <w:jc w:val="center"/>
              <w:rPr>
                <w:b/>
              </w:rPr>
            </w:pPr>
            <w:r w:rsidRPr="00682CE8">
              <w:rPr>
                <w:b/>
              </w:rPr>
              <w:t>Интерпретация полученной Оценки</w:t>
            </w:r>
          </w:p>
        </w:tc>
      </w:tr>
      <w:tr w:rsidR="00682CE8" w:rsidRPr="00682CE8" w:rsidTr="002522AC">
        <w:trPr>
          <w:trHeight w:val="270"/>
          <w:jc w:val="center"/>
        </w:trPr>
        <w:tc>
          <w:tcPr>
            <w:tcW w:w="1547" w:type="dxa"/>
            <w:tcBorders>
              <w:bottom w:val="single" w:sz="4" w:space="0" w:color="auto"/>
            </w:tcBorders>
            <w:shd w:val="clear" w:color="auto" w:fill="FF0000"/>
            <w:vAlign w:val="center"/>
          </w:tcPr>
          <w:p w:rsidR="00682CE8" w:rsidRPr="00682CE8" w:rsidRDefault="00682CE8" w:rsidP="002522AC">
            <w:pPr>
              <w:spacing w:after="60"/>
              <w:jc w:val="center"/>
              <w:rPr>
                <w:b/>
                <w:bCs/>
                <w:szCs w:val="28"/>
              </w:rPr>
            </w:pPr>
            <w:r w:rsidRPr="00682CE8">
              <w:rPr>
                <w:b/>
                <w:bCs/>
                <w:szCs w:val="28"/>
              </w:rPr>
              <w:t>0-0,45</w:t>
            </w:r>
          </w:p>
        </w:tc>
        <w:tc>
          <w:tcPr>
            <w:tcW w:w="1287" w:type="dxa"/>
            <w:tcBorders>
              <w:bottom w:val="single" w:sz="4" w:space="0" w:color="auto"/>
            </w:tcBorders>
            <w:shd w:val="clear" w:color="auto" w:fill="FF0000"/>
            <w:vAlign w:val="center"/>
          </w:tcPr>
          <w:p w:rsidR="00682CE8" w:rsidRPr="00682CE8" w:rsidRDefault="00682CE8" w:rsidP="002522AC">
            <w:pPr>
              <w:spacing w:after="60"/>
              <w:jc w:val="center"/>
              <w:rPr>
                <w:b/>
                <w:bCs/>
                <w:szCs w:val="28"/>
              </w:rPr>
            </w:pPr>
            <w:r w:rsidRPr="00682CE8">
              <w:rPr>
                <w:b/>
                <w:bCs/>
                <w:szCs w:val="28"/>
              </w:rPr>
              <w:t>0</w:t>
            </w:r>
          </w:p>
        </w:tc>
        <w:tc>
          <w:tcPr>
            <w:tcW w:w="3260" w:type="dxa"/>
            <w:tcBorders>
              <w:bottom w:val="single" w:sz="4" w:space="0" w:color="auto"/>
            </w:tcBorders>
            <w:shd w:val="clear" w:color="auto" w:fill="FF0000"/>
            <w:vAlign w:val="center"/>
          </w:tcPr>
          <w:p w:rsidR="00682CE8" w:rsidRPr="00682CE8" w:rsidRDefault="00682CE8" w:rsidP="002522AC">
            <w:pPr>
              <w:spacing w:after="60"/>
              <w:jc w:val="center"/>
              <w:rPr>
                <w:bCs/>
                <w:szCs w:val="28"/>
              </w:rPr>
            </w:pPr>
            <w:r w:rsidRPr="00682CE8">
              <w:rPr>
                <w:sz w:val="22"/>
                <w:szCs w:val="22"/>
              </w:rPr>
              <w:t>«Недопустимо высокий</w:t>
            </w:r>
            <w:r w:rsidRPr="00682CE8">
              <w:rPr>
                <w:bCs/>
                <w:sz w:val="22"/>
                <w:szCs w:val="22"/>
              </w:rPr>
              <w:t xml:space="preserve"> риск»</w:t>
            </w:r>
          </w:p>
        </w:tc>
        <w:tc>
          <w:tcPr>
            <w:tcW w:w="3517" w:type="dxa"/>
            <w:tcBorders>
              <w:bottom w:val="single" w:sz="4" w:space="0" w:color="auto"/>
            </w:tcBorders>
            <w:shd w:val="clear" w:color="auto" w:fill="FF0000"/>
          </w:tcPr>
          <w:p w:rsidR="00682CE8" w:rsidRPr="00682CE8" w:rsidRDefault="00682CE8" w:rsidP="002522AC">
            <w:pPr>
              <w:spacing w:after="60"/>
              <w:jc w:val="center"/>
            </w:pPr>
            <w:r w:rsidRPr="00682CE8">
              <w:rPr>
                <w:sz w:val="22"/>
                <w:szCs w:val="22"/>
              </w:rPr>
              <w:t>«Неприемлемо»</w:t>
            </w:r>
          </w:p>
          <w:p w:rsidR="00682CE8" w:rsidRPr="00682CE8" w:rsidRDefault="00682CE8" w:rsidP="002522AC">
            <w:pPr>
              <w:spacing w:after="60"/>
              <w:jc w:val="center"/>
            </w:pPr>
            <w:r w:rsidRPr="00682CE8">
              <w:rPr>
                <w:i/>
                <w:sz w:val="22"/>
                <w:szCs w:val="22"/>
              </w:rPr>
              <w:t>(предложение участника рекомендуется отклонить)</w:t>
            </w:r>
          </w:p>
        </w:tc>
      </w:tr>
      <w:tr w:rsidR="00682CE8" w:rsidRPr="00682CE8" w:rsidTr="002522AC">
        <w:trPr>
          <w:trHeight w:val="303"/>
          <w:jc w:val="center"/>
        </w:trPr>
        <w:tc>
          <w:tcPr>
            <w:tcW w:w="1547" w:type="dxa"/>
            <w:tcBorders>
              <w:bottom w:val="single" w:sz="4" w:space="0" w:color="auto"/>
            </w:tcBorders>
            <w:shd w:val="clear" w:color="auto" w:fill="FFFF00"/>
            <w:vAlign w:val="center"/>
          </w:tcPr>
          <w:p w:rsidR="00682CE8" w:rsidRPr="00682CE8" w:rsidRDefault="00682CE8" w:rsidP="002522AC">
            <w:pPr>
              <w:spacing w:after="60"/>
              <w:jc w:val="center"/>
              <w:rPr>
                <w:b/>
                <w:bCs/>
                <w:szCs w:val="28"/>
              </w:rPr>
            </w:pPr>
            <w:r w:rsidRPr="00682CE8">
              <w:rPr>
                <w:b/>
                <w:bCs/>
                <w:szCs w:val="28"/>
              </w:rPr>
              <w:t>0,45-0,55</w:t>
            </w:r>
          </w:p>
        </w:tc>
        <w:tc>
          <w:tcPr>
            <w:tcW w:w="1287" w:type="dxa"/>
            <w:tcBorders>
              <w:bottom w:val="single" w:sz="4" w:space="0" w:color="auto"/>
            </w:tcBorders>
            <w:shd w:val="clear" w:color="auto" w:fill="FFFF00"/>
            <w:vAlign w:val="center"/>
          </w:tcPr>
          <w:p w:rsidR="00682CE8" w:rsidRPr="00682CE8" w:rsidRDefault="00682CE8" w:rsidP="002522AC">
            <w:pPr>
              <w:spacing w:after="60"/>
              <w:jc w:val="center"/>
              <w:rPr>
                <w:b/>
                <w:bCs/>
                <w:szCs w:val="28"/>
              </w:rPr>
            </w:pPr>
            <w:r w:rsidRPr="00682CE8">
              <w:rPr>
                <w:b/>
                <w:bCs/>
                <w:szCs w:val="28"/>
              </w:rPr>
              <w:t>0-1</w:t>
            </w:r>
          </w:p>
        </w:tc>
        <w:tc>
          <w:tcPr>
            <w:tcW w:w="3260" w:type="dxa"/>
            <w:tcBorders>
              <w:bottom w:val="single" w:sz="4" w:space="0" w:color="auto"/>
            </w:tcBorders>
            <w:shd w:val="clear" w:color="auto" w:fill="FFFF00"/>
            <w:vAlign w:val="center"/>
          </w:tcPr>
          <w:p w:rsidR="00682CE8" w:rsidRPr="00682CE8" w:rsidRDefault="00682CE8" w:rsidP="002522AC">
            <w:pPr>
              <w:spacing w:after="60"/>
              <w:jc w:val="center"/>
            </w:pPr>
            <w:r w:rsidRPr="00682CE8">
              <w:rPr>
                <w:sz w:val="22"/>
                <w:szCs w:val="22"/>
              </w:rPr>
              <w:t>«Очень высокий</w:t>
            </w:r>
            <w:r w:rsidRPr="00682CE8">
              <w:rPr>
                <w:bCs/>
                <w:sz w:val="22"/>
                <w:szCs w:val="22"/>
              </w:rPr>
              <w:t xml:space="preserve"> риск»</w:t>
            </w:r>
          </w:p>
        </w:tc>
        <w:tc>
          <w:tcPr>
            <w:tcW w:w="3517" w:type="dxa"/>
            <w:tcBorders>
              <w:bottom w:val="single" w:sz="4" w:space="0" w:color="auto"/>
            </w:tcBorders>
            <w:shd w:val="clear" w:color="auto" w:fill="FFFF00"/>
          </w:tcPr>
          <w:p w:rsidR="00682CE8" w:rsidRPr="00682CE8" w:rsidRDefault="00682CE8" w:rsidP="002522AC">
            <w:pPr>
              <w:spacing w:after="60"/>
              <w:jc w:val="center"/>
            </w:pPr>
            <w:r w:rsidRPr="00682CE8">
              <w:rPr>
                <w:sz w:val="22"/>
                <w:szCs w:val="22"/>
              </w:rPr>
              <w:t>«Минимально приемлемо»</w:t>
            </w:r>
          </w:p>
        </w:tc>
      </w:tr>
      <w:tr w:rsidR="00682CE8" w:rsidRPr="00682CE8" w:rsidTr="002522AC">
        <w:trPr>
          <w:trHeight w:val="252"/>
          <w:jc w:val="center"/>
        </w:trPr>
        <w:tc>
          <w:tcPr>
            <w:tcW w:w="1547" w:type="dxa"/>
            <w:tcBorders>
              <w:bottom w:val="single" w:sz="4" w:space="0" w:color="auto"/>
            </w:tcBorders>
            <w:shd w:val="clear" w:color="auto" w:fill="FFFF00"/>
            <w:vAlign w:val="center"/>
          </w:tcPr>
          <w:p w:rsidR="00682CE8" w:rsidRPr="00682CE8" w:rsidRDefault="00682CE8" w:rsidP="002522AC">
            <w:pPr>
              <w:spacing w:after="60"/>
              <w:jc w:val="center"/>
              <w:rPr>
                <w:b/>
                <w:bCs/>
                <w:szCs w:val="28"/>
              </w:rPr>
            </w:pPr>
            <w:r w:rsidRPr="00682CE8">
              <w:rPr>
                <w:b/>
                <w:bCs/>
                <w:szCs w:val="28"/>
              </w:rPr>
              <w:t>0,55-0,65</w:t>
            </w:r>
          </w:p>
        </w:tc>
        <w:tc>
          <w:tcPr>
            <w:tcW w:w="1287" w:type="dxa"/>
            <w:tcBorders>
              <w:bottom w:val="single" w:sz="4" w:space="0" w:color="auto"/>
            </w:tcBorders>
            <w:shd w:val="clear" w:color="auto" w:fill="FFFF00"/>
            <w:vAlign w:val="center"/>
          </w:tcPr>
          <w:p w:rsidR="00682CE8" w:rsidRPr="00682CE8" w:rsidRDefault="00682CE8" w:rsidP="002522AC">
            <w:pPr>
              <w:spacing w:after="60"/>
              <w:jc w:val="center"/>
              <w:rPr>
                <w:b/>
                <w:bCs/>
                <w:szCs w:val="28"/>
              </w:rPr>
            </w:pPr>
            <w:r w:rsidRPr="00682CE8">
              <w:rPr>
                <w:b/>
                <w:bCs/>
                <w:szCs w:val="28"/>
              </w:rPr>
              <w:t>1-2</w:t>
            </w:r>
          </w:p>
        </w:tc>
        <w:tc>
          <w:tcPr>
            <w:tcW w:w="3260" w:type="dxa"/>
            <w:tcBorders>
              <w:bottom w:val="single" w:sz="4" w:space="0" w:color="auto"/>
            </w:tcBorders>
            <w:shd w:val="clear" w:color="auto" w:fill="FFFF00"/>
            <w:vAlign w:val="center"/>
          </w:tcPr>
          <w:p w:rsidR="00682CE8" w:rsidRPr="00682CE8" w:rsidRDefault="00682CE8" w:rsidP="002522AC">
            <w:pPr>
              <w:spacing w:after="60"/>
              <w:jc w:val="center"/>
              <w:rPr>
                <w:bCs/>
                <w:szCs w:val="28"/>
              </w:rPr>
            </w:pPr>
            <w:r w:rsidRPr="00682CE8">
              <w:t>«</w:t>
            </w:r>
            <w:r w:rsidRPr="00682CE8">
              <w:rPr>
                <w:bCs/>
                <w:sz w:val="22"/>
                <w:szCs w:val="22"/>
              </w:rPr>
              <w:t>Повышенный риск»</w:t>
            </w:r>
          </w:p>
        </w:tc>
        <w:tc>
          <w:tcPr>
            <w:tcW w:w="3517" w:type="dxa"/>
            <w:tcBorders>
              <w:bottom w:val="single" w:sz="4" w:space="0" w:color="auto"/>
            </w:tcBorders>
            <w:shd w:val="clear" w:color="auto" w:fill="FFFF00"/>
          </w:tcPr>
          <w:p w:rsidR="00682CE8" w:rsidRPr="00682CE8" w:rsidRDefault="00682CE8" w:rsidP="002522AC">
            <w:pPr>
              <w:spacing w:after="60"/>
              <w:jc w:val="center"/>
            </w:pPr>
            <w:r w:rsidRPr="00682CE8">
              <w:rPr>
                <w:sz w:val="22"/>
                <w:szCs w:val="22"/>
              </w:rPr>
              <w:t>«Удовлетворительно»</w:t>
            </w:r>
          </w:p>
        </w:tc>
      </w:tr>
      <w:tr w:rsidR="00682CE8" w:rsidRPr="00682CE8" w:rsidTr="002522AC">
        <w:trPr>
          <w:jc w:val="center"/>
        </w:trPr>
        <w:tc>
          <w:tcPr>
            <w:tcW w:w="1547" w:type="dxa"/>
            <w:shd w:val="clear" w:color="auto" w:fill="92D050"/>
            <w:vAlign w:val="center"/>
          </w:tcPr>
          <w:p w:rsidR="00682CE8" w:rsidRPr="00682CE8" w:rsidRDefault="00682CE8" w:rsidP="002522AC">
            <w:pPr>
              <w:spacing w:after="60"/>
              <w:jc w:val="center"/>
              <w:rPr>
                <w:b/>
                <w:bCs/>
                <w:szCs w:val="28"/>
              </w:rPr>
            </w:pPr>
            <w:r w:rsidRPr="00682CE8">
              <w:rPr>
                <w:b/>
                <w:bCs/>
                <w:szCs w:val="28"/>
              </w:rPr>
              <w:t>0,65-0,75</w:t>
            </w:r>
          </w:p>
        </w:tc>
        <w:tc>
          <w:tcPr>
            <w:tcW w:w="1287" w:type="dxa"/>
            <w:shd w:val="clear" w:color="auto" w:fill="92D050"/>
            <w:vAlign w:val="center"/>
          </w:tcPr>
          <w:p w:rsidR="00682CE8" w:rsidRPr="00682CE8" w:rsidRDefault="00682CE8" w:rsidP="002522AC">
            <w:pPr>
              <w:spacing w:after="60"/>
              <w:jc w:val="center"/>
              <w:rPr>
                <w:b/>
                <w:bCs/>
                <w:szCs w:val="28"/>
              </w:rPr>
            </w:pPr>
            <w:r w:rsidRPr="00682CE8">
              <w:rPr>
                <w:b/>
                <w:bCs/>
                <w:szCs w:val="28"/>
              </w:rPr>
              <w:t>2-3</w:t>
            </w:r>
          </w:p>
        </w:tc>
        <w:tc>
          <w:tcPr>
            <w:tcW w:w="3260" w:type="dxa"/>
            <w:shd w:val="clear" w:color="auto" w:fill="92D050"/>
            <w:vAlign w:val="center"/>
          </w:tcPr>
          <w:p w:rsidR="00682CE8" w:rsidRPr="00682CE8" w:rsidRDefault="00682CE8" w:rsidP="002522AC">
            <w:pPr>
              <w:spacing w:after="60"/>
              <w:jc w:val="center"/>
              <w:rPr>
                <w:bCs/>
                <w:szCs w:val="28"/>
              </w:rPr>
            </w:pPr>
            <w:r w:rsidRPr="00682CE8">
              <w:rPr>
                <w:bCs/>
                <w:sz w:val="22"/>
                <w:szCs w:val="22"/>
              </w:rPr>
              <w:t>«Вполне приемлемый риск</w:t>
            </w:r>
          </w:p>
        </w:tc>
        <w:tc>
          <w:tcPr>
            <w:tcW w:w="3517" w:type="dxa"/>
            <w:shd w:val="clear" w:color="auto" w:fill="92D050"/>
          </w:tcPr>
          <w:p w:rsidR="00682CE8" w:rsidRPr="00682CE8" w:rsidRDefault="00682CE8" w:rsidP="002522AC">
            <w:pPr>
              <w:spacing w:after="60"/>
              <w:jc w:val="center"/>
            </w:pPr>
            <w:r w:rsidRPr="00682CE8">
              <w:rPr>
                <w:sz w:val="22"/>
                <w:szCs w:val="22"/>
              </w:rPr>
              <w:t>«Хорошо»</w:t>
            </w:r>
          </w:p>
          <w:p w:rsidR="00682CE8" w:rsidRPr="00682CE8" w:rsidRDefault="00682CE8" w:rsidP="002522AC">
            <w:pPr>
              <w:spacing w:after="60"/>
              <w:jc w:val="center"/>
            </w:pPr>
            <w:r w:rsidRPr="00682CE8">
              <w:rPr>
                <w:i/>
                <w:sz w:val="22"/>
                <w:szCs w:val="22"/>
              </w:rPr>
              <w:t>(финансовое состояние соответствует требованиям закупочной документации)</w:t>
            </w:r>
          </w:p>
        </w:tc>
      </w:tr>
      <w:tr w:rsidR="00682CE8" w:rsidRPr="00682CE8" w:rsidTr="002522AC">
        <w:trPr>
          <w:trHeight w:val="155"/>
          <w:jc w:val="center"/>
        </w:trPr>
        <w:tc>
          <w:tcPr>
            <w:tcW w:w="1547" w:type="dxa"/>
            <w:shd w:val="clear" w:color="auto" w:fill="92D050"/>
            <w:vAlign w:val="center"/>
          </w:tcPr>
          <w:p w:rsidR="00682CE8" w:rsidRPr="00682CE8" w:rsidRDefault="00682CE8" w:rsidP="002522AC">
            <w:pPr>
              <w:spacing w:after="60"/>
              <w:jc w:val="center"/>
              <w:rPr>
                <w:b/>
                <w:bCs/>
                <w:szCs w:val="28"/>
              </w:rPr>
            </w:pPr>
            <w:r w:rsidRPr="00682CE8">
              <w:rPr>
                <w:b/>
                <w:bCs/>
                <w:szCs w:val="28"/>
              </w:rPr>
              <w:t>0,75-0,85</w:t>
            </w:r>
          </w:p>
        </w:tc>
        <w:tc>
          <w:tcPr>
            <w:tcW w:w="1287" w:type="dxa"/>
            <w:shd w:val="clear" w:color="auto" w:fill="92D050"/>
            <w:vAlign w:val="center"/>
          </w:tcPr>
          <w:p w:rsidR="00682CE8" w:rsidRPr="00682CE8" w:rsidRDefault="00682CE8" w:rsidP="002522AC">
            <w:pPr>
              <w:spacing w:after="60"/>
              <w:jc w:val="center"/>
              <w:rPr>
                <w:b/>
                <w:bCs/>
                <w:szCs w:val="28"/>
              </w:rPr>
            </w:pPr>
            <w:r w:rsidRPr="00682CE8">
              <w:rPr>
                <w:b/>
                <w:bCs/>
                <w:szCs w:val="28"/>
              </w:rPr>
              <w:t>3-4</w:t>
            </w:r>
          </w:p>
        </w:tc>
        <w:tc>
          <w:tcPr>
            <w:tcW w:w="3260" w:type="dxa"/>
            <w:shd w:val="clear" w:color="auto" w:fill="92D050"/>
            <w:vAlign w:val="center"/>
          </w:tcPr>
          <w:p w:rsidR="00682CE8" w:rsidRPr="00682CE8" w:rsidRDefault="00682CE8" w:rsidP="002522AC">
            <w:pPr>
              <w:spacing w:after="60"/>
              <w:jc w:val="center"/>
              <w:rPr>
                <w:bCs/>
                <w:szCs w:val="28"/>
              </w:rPr>
            </w:pPr>
            <w:r w:rsidRPr="00682CE8">
              <w:rPr>
                <w:bCs/>
                <w:sz w:val="22"/>
                <w:szCs w:val="22"/>
              </w:rPr>
              <w:t>«Приемлемый риск»</w:t>
            </w:r>
          </w:p>
        </w:tc>
        <w:tc>
          <w:tcPr>
            <w:tcW w:w="3517" w:type="dxa"/>
            <w:shd w:val="clear" w:color="auto" w:fill="92D050"/>
          </w:tcPr>
          <w:p w:rsidR="00682CE8" w:rsidRPr="00682CE8" w:rsidRDefault="00682CE8" w:rsidP="002522AC">
            <w:pPr>
              <w:spacing w:after="60"/>
              <w:jc w:val="center"/>
            </w:pPr>
            <w:r w:rsidRPr="00682CE8">
              <w:rPr>
                <w:sz w:val="22"/>
                <w:szCs w:val="22"/>
              </w:rPr>
              <w:t>«Очень хорошо»</w:t>
            </w:r>
          </w:p>
        </w:tc>
      </w:tr>
      <w:tr w:rsidR="00682CE8" w:rsidRPr="00682CE8" w:rsidTr="002522AC">
        <w:trPr>
          <w:jc w:val="center"/>
        </w:trPr>
        <w:tc>
          <w:tcPr>
            <w:tcW w:w="1547" w:type="dxa"/>
            <w:shd w:val="clear" w:color="auto" w:fill="92D050"/>
            <w:vAlign w:val="center"/>
          </w:tcPr>
          <w:p w:rsidR="00682CE8" w:rsidRPr="00682CE8" w:rsidRDefault="00682CE8" w:rsidP="002522AC">
            <w:pPr>
              <w:spacing w:after="60"/>
              <w:jc w:val="center"/>
              <w:rPr>
                <w:b/>
                <w:bCs/>
                <w:szCs w:val="28"/>
              </w:rPr>
            </w:pPr>
            <w:r w:rsidRPr="00682CE8">
              <w:rPr>
                <w:b/>
                <w:bCs/>
                <w:szCs w:val="28"/>
              </w:rPr>
              <w:t>0,85-1</w:t>
            </w:r>
          </w:p>
        </w:tc>
        <w:tc>
          <w:tcPr>
            <w:tcW w:w="1287" w:type="dxa"/>
            <w:shd w:val="clear" w:color="auto" w:fill="92D050"/>
            <w:vAlign w:val="center"/>
          </w:tcPr>
          <w:p w:rsidR="00682CE8" w:rsidRPr="00682CE8" w:rsidRDefault="00682CE8" w:rsidP="002522AC">
            <w:pPr>
              <w:keepNext/>
              <w:spacing w:after="60"/>
              <w:jc w:val="center"/>
              <w:rPr>
                <w:b/>
                <w:bCs/>
                <w:szCs w:val="28"/>
              </w:rPr>
            </w:pPr>
            <w:r w:rsidRPr="00682CE8">
              <w:rPr>
                <w:b/>
                <w:bCs/>
                <w:szCs w:val="28"/>
              </w:rPr>
              <w:t>4-5</w:t>
            </w:r>
          </w:p>
        </w:tc>
        <w:tc>
          <w:tcPr>
            <w:tcW w:w="3260" w:type="dxa"/>
            <w:shd w:val="clear" w:color="auto" w:fill="92D050"/>
            <w:vAlign w:val="center"/>
          </w:tcPr>
          <w:p w:rsidR="00682CE8" w:rsidRPr="00682CE8" w:rsidRDefault="00682CE8" w:rsidP="002522AC">
            <w:pPr>
              <w:keepNext/>
              <w:spacing w:after="60"/>
              <w:jc w:val="center"/>
              <w:rPr>
                <w:bCs/>
                <w:szCs w:val="28"/>
              </w:rPr>
            </w:pPr>
            <w:r w:rsidRPr="00682CE8">
              <w:rPr>
                <w:bCs/>
                <w:sz w:val="22"/>
                <w:szCs w:val="22"/>
              </w:rPr>
              <w:t>«Минимальный риск»</w:t>
            </w:r>
          </w:p>
        </w:tc>
        <w:tc>
          <w:tcPr>
            <w:tcW w:w="3517" w:type="dxa"/>
            <w:shd w:val="clear" w:color="auto" w:fill="92D050"/>
          </w:tcPr>
          <w:p w:rsidR="00682CE8" w:rsidRPr="00682CE8" w:rsidRDefault="00682CE8" w:rsidP="002522AC">
            <w:pPr>
              <w:keepNext/>
              <w:spacing w:after="60"/>
              <w:jc w:val="center"/>
            </w:pPr>
            <w:r w:rsidRPr="00682CE8">
              <w:rPr>
                <w:sz w:val="22"/>
                <w:szCs w:val="22"/>
              </w:rPr>
              <w:t>«Отлично»</w:t>
            </w:r>
          </w:p>
        </w:tc>
      </w:tr>
    </w:tbl>
    <w:p w:rsidR="00682CE8" w:rsidRPr="00682CE8" w:rsidRDefault="00682CE8" w:rsidP="00682CE8">
      <w:pPr>
        <w:numPr>
          <w:ilvl w:val="1"/>
          <w:numId w:val="5"/>
        </w:numPr>
        <w:spacing w:before="120" w:after="120"/>
        <w:jc w:val="both"/>
      </w:pPr>
      <w:r w:rsidRPr="00682CE8">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p>
    <w:p w:rsidR="00682CE8" w:rsidRPr="00682CE8" w:rsidRDefault="00682CE8" w:rsidP="00682CE8">
      <w:pPr>
        <w:spacing w:before="120" w:after="120"/>
        <w:ind w:left="792"/>
        <w:jc w:val="both"/>
      </w:pPr>
    </w:p>
    <w:p w:rsidR="00682CE8" w:rsidRPr="00682CE8" w:rsidRDefault="00682CE8" w:rsidP="00682CE8">
      <w:pPr>
        <w:pStyle w:val="1"/>
        <w:numPr>
          <w:ilvl w:val="0"/>
          <w:numId w:val="5"/>
        </w:numPr>
        <w:tabs>
          <w:tab w:val="left" w:pos="540"/>
        </w:tabs>
        <w:spacing w:before="120" w:after="120"/>
        <w:rPr>
          <w:rFonts w:ascii="Times New Roman" w:hAnsi="Times New Roman" w:cs="Times New Roman"/>
          <w:sz w:val="24"/>
          <w:szCs w:val="24"/>
        </w:rPr>
      </w:pPr>
      <w:bookmarkStart w:id="85" w:name="_Toc314226189"/>
      <w:bookmarkStart w:id="86" w:name="_Toc322961185"/>
      <w:bookmarkStart w:id="87" w:name="_Toc326066020"/>
      <w:bookmarkStart w:id="88" w:name="_Toc326066290"/>
      <w:bookmarkStart w:id="89" w:name="_Toc326067321"/>
      <w:bookmarkStart w:id="90" w:name="_Toc326077656"/>
      <w:r w:rsidRPr="00682CE8">
        <w:rPr>
          <w:rFonts w:ascii="Times New Roman" w:hAnsi="Times New Roman" w:cs="Times New Roman"/>
          <w:sz w:val="24"/>
          <w:szCs w:val="24"/>
        </w:rPr>
        <w:t>Лист регистрации изменений</w:t>
      </w:r>
      <w:bookmarkEnd w:id="85"/>
      <w:bookmarkEnd w:id="86"/>
      <w:bookmarkEnd w:id="87"/>
      <w:bookmarkEnd w:id="88"/>
      <w:bookmarkEnd w:id="89"/>
      <w:bookmarkEnd w:id="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585"/>
        <w:gridCol w:w="1810"/>
        <w:gridCol w:w="5122"/>
      </w:tblGrid>
      <w:tr w:rsidR="00682CE8" w:rsidRPr="00682CE8" w:rsidTr="002522AC">
        <w:tc>
          <w:tcPr>
            <w:tcW w:w="1053"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Версия</w:t>
            </w:r>
          </w:p>
        </w:tc>
        <w:tc>
          <w:tcPr>
            <w:tcW w:w="1585"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Дата</w:t>
            </w:r>
          </w:p>
        </w:tc>
        <w:tc>
          <w:tcPr>
            <w:tcW w:w="1810"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Автор</w:t>
            </w:r>
          </w:p>
        </w:tc>
        <w:tc>
          <w:tcPr>
            <w:tcW w:w="5122"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Комментарий к изменениям</w:t>
            </w:r>
          </w:p>
        </w:tc>
      </w:tr>
      <w:tr w:rsidR="00682CE8" w:rsidRPr="00682CE8" w:rsidTr="002522AC">
        <w:tc>
          <w:tcPr>
            <w:tcW w:w="1053" w:type="dxa"/>
            <w:shd w:val="clear" w:color="auto" w:fill="auto"/>
          </w:tcPr>
          <w:p w:rsidR="00682CE8" w:rsidRPr="00682CE8" w:rsidRDefault="00682CE8" w:rsidP="002522AC">
            <w:pPr>
              <w:spacing w:before="60" w:after="60"/>
            </w:pPr>
            <w:r w:rsidRPr="00682CE8">
              <w:t>1</w:t>
            </w:r>
          </w:p>
        </w:tc>
        <w:tc>
          <w:tcPr>
            <w:tcW w:w="1585" w:type="dxa"/>
            <w:shd w:val="clear" w:color="auto" w:fill="auto"/>
          </w:tcPr>
          <w:p w:rsidR="00682CE8" w:rsidRPr="00682CE8" w:rsidRDefault="00682CE8" w:rsidP="002522AC">
            <w:pPr>
              <w:spacing w:before="60" w:after="60"/>
            </w:pPr>
          </w:p>
        </w:tc>
        <w:tc>
          <w:tcPr>
            <w:tcW w:w="1810" w:type="dxa"/>
            <w:shd w:val="clear" w:color="auto" w:fill="auto"/>
          </w:tcPr>
          <w:p w:rsidR="00682CE8" w:rsidRPr="00682CE8" w:rsidRDefault="00682CE8" w:rsidP="002522AC">
            <w:pPr>
              <w:spacing w:before="60" w:after="60"/>
            </w:pPr>
          </w:p>
        </w:tc>
        <w:tc>
          <w:tcPr>
            <w:tcW w:w="5122" w:type="dxa"/>
            <w:shd w:val="clear" w:color="auto" w:fill="auto"/>
          </w:tcPr>
          <w:p w:rsidR="00682CE8" w:rsidRPr="00682CE8" w:rsidRDefault="00682CE8" w:rsidP="002522AC">
            <w:pPr>
              <w:spacing w:before="60" w:after="60"/>
            </w:pPr>
          </w:p>
        </w:tc>
      </w:tr>
      <w:tr w:rsidR="00682CE8" w:rsidRPr="00682CE8" w:rsidTr="002522AC">
        <w:tc>
          <w:tcPr>
            <w:tcW w:w="1053" w:type="dxa"/>
            <w:shd w:val="clear" w:color="auto" w:fill="auto"/>
          </w:tcPr>
          <w:p w:rsidR="00682CE8" w:rsidRPr="00682CE8" w:rsidRDefault="00682CE8" w:rsidP="002522AC">
            <w:pPr>
              <w:spacing w:before="60" w:after="60"/>
            </w:pPr>
            <w:r w:rsidRPr="00682CE8">
              <w:t>2</w:t>
            </w:r>
          </w:p>
        </w:tc>
        <w:tc>
          <w:tcPr>
            <w:tcW w:w="1585" w:type="dxa"/>
            <w:shd w:val="clear" w:color="auto" w:fill="auto"/>
          </w:tcPr>
          <w:p w:rsidR="00682CE8" w:rsidRPr="00682CE8" w:rsidRDefault="00682CE8" w:rsidP="002522AC">
            <w:pPr>
              <w:spacing w:before="60" w:after="60"/>
            </w:pPr>
          </w:p>
        </w:tc>
        <w:tc>
          <w:tcPr>
            <w:tcW w:w="1810" w:type="dxa"/>
            <w:shd w:val="clear" w:color="auto" w:fill="auto"/>
          </w:tcPr>
          <w:p w:rsidR="00682CE8" w:rsidRPr="00682CE8" w:rsidRDefault="00682CE8" w:rsidP="002522AC">
            <w:pPr>
              <w:spacing w:before="60" w:after="60"/>
            </w:pPr>
          </w:p>
        </w:tc>
        <w:tc>
          <w:tcPr>
            <w:tcW w:w="5122" w:type="dxa"/>
            <w:shd w:val="clear" w:color="auto" w:fill="auto"/>
          </w:tcPr>
          <w:p w:rsidR="00682CE8" w:rsidRPr="00682CE8" w:rsidRDefault="00682CE8" w:rsidP="002522AC">
            <w:pPr>
              <w:spacing w:before="60" w:after="60"/>
            </w:pPr>
          </w:p>
        </w:tc>
      </w:tr>
    </w:tbl>
    <w:p w:rsidR="00682CE8" w:rsidRPr="00682CE8" w:rsidRDefault="00682CE8" w:rsidP="00682CE8">
      <w:pPr>
        <w:pStyle w:val="1"/>
        <w:numPr>
          <w:ilvl w:val="0"/>
          <w:numId w:val="5"/>
        </w:numPr>
        <w:tabs>
          <w:tab w:val="left" w:pos="540"/>
        </w:tabs>
        <w:spacing w:before="120" w:after="120"/>
        <w:rPr>
          <w:rFonts w:ascii="Times New Roman" w:hAnsi="Times New Roman" w:cs="Times New Roman"/>
          <w:sz w:val="24"/>
          <w:szCs w:val="24"/>
        </w:rPr>
      </w:pPr>
      <w:bookmarkStart w:id="91" w:name="_Toc314226190"/>
      <w:bookmarkStart w:id="92" w:name="_Toc322961186"/>
      <w:bookmarkStart w:id="93" w:name="_Toc326066021"/>
      <w:bookmarkStart w:id="94" w:name="_Toc326066291"/>
      <w:bookmarkStart w:id="95" w:name="_Toc326067322"/>
      <w:bookmarkStart w:id="96" w:name="_Toc326077657"/>
      <w:r w:rsidRPr="00682CE8">
        <w:rPr>
          <w:rFonts w:ascii="Times New Roman" w:hAnsi="Times New Roman" w:cs="Times New Roman"/>
          <w:sz w:val="24"/>
          <w:szCs w:val="24"/>
        </w:rPr>
        <w:t>Контроль актуализации</w:t>
      </w:r>
      <w:bookmarkEnd w:id="91"/>
      <w:bookmarkEnd w:id="92"/>
      <w:bookmarkEnd w:id="93"/>
      <w:bookmarkEnd w:id="94"/>
      <w:bookmarkEnd w:id="95"/>
      <w:bookmarkEnd w:id="96"/>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260"/>
        <w:gridCol w:w="2520"/>
        <w:gridCol w:w="2340"/>
        <w:gridCol w:w="2520"/>
      </w:tblGrid>
      <w:tr w:rsidR="00682CE8" w:rsidRPr="00682CE8" w:rsidTr="002522AC">
        <w:tc>
          <w:tcPr>
            <w:tcW w:w="828"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 п/п</w:t>
            </w:r>
          </w:p>
        </w:tc>
        <w:tc>
          <w:tcPr>
            <w:tcW w:w="1260"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Дата</w:t>
            </w:r>
          </w:p>
        </w:tc>
        <w:tc>
          <w:tcPr>
            <w:tcW w:w="2520"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Изменений не требуется</w:t>
            </w:r>
          </w:p>
        </w:tc>
        <w:tc>
          <w:tcPr>
            <w:tcW w:w="2340"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Требуются изменения</w:t>
            </w:r>
          </w:p>
        </w:tc>
        <w:tc>
          <w:tcPr>
            <w:tcW w:w="2520" w:type="dxa"/>
            <w:shd w:val="clear" w:color="auto" w:fill="D9D9D9"/>
            <w:vAlign w:val="center"/>
          </w:tcPr>
          <w:p w:rsidR="00682CE8" w:rsidRPr="00682CE8" w:rsidRDefault="00682CE8" w:rsidP="002522AC">
            <w:pPr>
              <w:spacing w:before="60" w:after="60"/>
              <w:jc w:val="center"/>
              <w:rPr>
                <w:b/>
                <w:sz w:val="20"/>
                <w:szCs w:val="20"/>
              </w:rPr>
            </w:pPr>
            <w:r w:rsidRPr="00682CE8">
              <w:rPr>
                <w:b/>
                <w:sz w:val="20"/>
                <w:szCs w:val="20"/>
              </w:rPr>
              <w:t>Подпись владельца</w:t>
            </w:r>
          </w:p>
        </w:tc>
      </w:tr>
      <w:tr w:rsidR="00682CE8" w:rsidRPr="00682CE8" w:rsidTr="002522AC">
        <w:tc>
          <w:tcPr>
            <w:tcW w:w="828" w:type="dxa"/>
            <w:shd w:val="clear" w:color="auto" w:fill="auto"/>
          </w:tcPr>
          <w:p w:rsidR="00682CE8" w:rsidRPr="00682CE8" w:rsidRDefault="00682CE8" w:rsidP="002522AC">
            <w:pPr>
              <w:spacing w:before="60" w:after="60"/>
            </w:pPr>
            <w:r w:rsidRPr="00682CE8">
              <w:t xml:space="preserve">1. </w:t>
            </w:r>
          </w:p>
        </w:tc>
        <w:tc>
          <w:tcPr>
            <w:tcW w:w="1260" w:type="dxa"/>
            <w:shd w:val="clear" w:color="auto" w:fill="auto"/>
          </w:tcPr>
          <w:p w:rsidR="00682CE8" w:rsidRPr="00682CE8" w:rsidRDefault="00682CE8" w:rsidP="002522AC">
            <w:pPr>
              <w:spacing w:before="60" w:after="60"/>
            </w:pPr>
          </w:p>
        </w:tc>
        <w:tc>
          <w:tcPr>
            <w:tcW w:w="2520" w:type="dxa"/>
            <w:shd w:val="clear" w:color="auto" w:fill="auto"/>
          </w:tcPr>
          <w:p w:rsidR="00682CE8" w:rsidRPr="00682CE8" w:rsidRDefault="00682CE8" w:rsidP="002522AC">
            <w:pPr>
              <w:spacing w:before="60" w:after="60"/>
            </w:pPr>
          </w:p>
        </w:tc>
        <w:tc>
          <w:tcPr>
            <w:tcW w:w="2340" w:type="dxa"/>
            <w:shd w:val="clear" w:color="auto" w:fill="auto"/>
          </w:tcPr>
          <w:p w:rsidR="00682CE8" w:rsidRPr="00682CE8" w:rsidRDefault="00682CE8" w:rsidP="002522AC">
            <w:pPr>
              <w:spacing w:before="60" w:after="60"/>
            </w:pPr>
          </w:p>
        </w:tc>
        <w:tc>
          <w:tcPr>
            <w:tcW w:w="2520" w:type="dxa"/>
            <w:shd w:val="clear" w:color="auto" w:fill="auto"/>
          </w:tcPr>
          <w:p w:rsidR="00682CE8" w:rsidRPr="00682CE8" w:rsidRDefault="00682CE8" w:rsidP="002522AC">
            <w:pPr>
              <w:spacing w:before="60" w:after="60"/>
            </w:pPr>
          </w:p>
        </w:tc>
      </w:tr>
      <w:tr w:rsidR="00682CE8" w:rsidRPr="00682CE8" w:rsidTr="002522AC">
        <w:tc>
          <w:tcPr>
            <w:tcW w:w="828" w:type="dxa"/>
            <w:shd w:val="clear" w:color="auto" w:fill="auto"/>
          </w:tcPr>
          <w:p w:rsidR="00682CE8" w:rsidRPr="00682CE8" w:rsidRDefault="00682CE8" w:rsidP="002522AC">
            <w:pPr>
              <w:spacing w:before="60" w:after="60"/>
            </w:pPr>
            <w:r w:rsidRPr="00682CE8">
              <w:t>…</w:t>
            </w:r>
          </w:p>
        </w:tc>
        <w:tc>
          <w:tcPr>
            <w:tcW w:w="1260" w:type="dxa"/>
            <w:shd w:val="clear" w:color="auto" w:fill="auto"/>
          </w:tcPr>
          <w:p w:rsidR="00682CE8" w:rsidRPr="00682CE8" w:rsidRDefault="00682CE8" w:rsidP="002522AC">
            <w:pPr>
              <w:spacing w:before="60" w:after="60"/>
            </w:pPr>
          </w:p>
        </w:tc>
        <w:tc>
          <w:tcPr>
            <w:tcW w:w="2520" w:type="dxa"/>
            <w:shd w:val="clear" w:color="auto" w:fill="auto"/>
          </w:tcPr>
          <w:p w:rsidR="00682CE8" w:rsidRPr="00682CE8" w:rsidRDefault="00682CE8" w:rsidP="002522AC">
            <w:pPr>
              <w:spacing w:before="60" w:after="60"/>
            </w:pPr>
          </w:p>
        </w:tc>
        <w:tc>
          <w:tcPr>
            <w:tcW w:w="2340" w:type="dxa"/>
            <w:shd w:val="clear" w:color="auto" w:fill="auto"/>
          </w:tcPr>
          <w:p w:rsidR="00682CE8" w:rsidRPr="00682CE8" w:rsidRDefault="00682CE8" w:rsidP="002522AC">
            <w:pPr>
              <w:spacing w:before="60" w:after="60"/>
            </w:pPr>
          </w:p>
        </w:tc>
        <w:tc>
          <w:tcPr>
            <w:tcW w:w="2520" w:type="dxa"/>
            <w:shd w:val="clear" w:color="auto" w:fill="auto"/>
          </w:tcPr>
          <w:p w:rsidR="00682CE8" w:rsidRPr="00682CE8" w:rsidRDefault="00682CE8" w:rsidP="002522AC">
            <w:pPr>
              <w:spacing w:before="60" w:after="60"/>
            </w:pPr>
          </w:p>
        </w:tc>
      </w:tr>
    </w:tbl>
    <w:p w:rsidR="00682CE8" w:rsidRPr="00682CE8" w:rsidRDefault="00682CE8" w:rsidP="00682CE8">
      <w:pPr>
        <w:pStyle w:val="1"/>
        <w:numPr>
          <w:ilvl w:val="0"/>
          <w:numId w:val="5"/>
        </w:numPr>
        <w:tabs>
          <w:tab w:val="left" w:pos="540"/>
        </w:tabs>
        <w:spacing w:before="120" w:after="120"/>
        <w:rPr>
          <w:rFonts w:ascii="Times New Roman" w:hAnsi="Times New Roman" w:cs="Times New Roman"/>
          <w:sz w:val="24"/>
          <w:szCs w:val="24"/>
        </w:rPr>
      </w:pPr>
      <w:bookmarkStart w:id="97" w:name="_Toc314226191"/>
      <w:bookmarkStart w:id="98" w:name="_Toc322961187"/>
      <w:bookmarkStart w:id="99" w:name="_Toc326066022"/>
      <w:bookmarkStart w:id="100" w:name="_Toc326066292"/>
      <w:bookmarkStart w:id="101" w:name="_Toc326067323"/>
      <w:bookmarkStart w:id="102" w:name="_Toc326077658"/>
      <w:r w:rsidRPr="00682CE8">
        <w:rPr>
          <w:rFonts w:ascii="Times New Roman" w:hAnsi="Times New Roman" w:cs="Times New Roman"/>
          <w:sz w:val="24"/>
          <w:szCs w:val="24"/>
        </w:rPr>
        <w:t>Права доступа к документу</w:t>
      </w:r>
      <w:bookmarkEnd w:id="97"/>
      <w:bookmarkEnd w:id="98"/>
      <w:bookmarkEnd w:id="99"/>
      <w:bookmarkEnd w:id="100"/>
      <w:bookmarkEnd w:id="101"/>
      <w:bookmarkEnd w:id="102"/>
    </w:p>
    <w:p w:rsidR="00682CE8" w:rsidRPr="00682CE8" w:rsidRDefault="00682CE8" w:rsidP="00682CE8">
      <w:r w:rsidRPr="00682CE8">
        <w:t>Не ограничены.</w:t>
      </w:r>
    </w:p>
    <w:p w:rsidR="00682CE8" w:rsidRPr="00682CE8" w:rsidRDefault="00682CE8" w:rsidP="00682CE8">
      <w:pPr>
        <w:rPr>
          <w:rStyle w:val="10"/>
          <w:rFonts w:ascii="Times New Roman" w:hAnsi="Times New Roman" w:cs="Times New Roman"/>
        </w:rPr>
      </w:pPr>
      <w:r w:rsidRPr="00682CE8">
        <w:br w:type="page"/>
      </w:r>
      <w:bookmarkStart w:id="103" w:name="_Toc326066023"/>
      <w:bookmarkStart w:id="104" w:name="_Toc326066293"/>
      <w:bookmarkStart w:id="105" w:name="_Toc326067324"/>
      <w:bookmarkStart w:id="106" w:name="_Toc326077659"/>
      <w:bookmarkStart w:id="107" w:name="_Toc314226192"/>
      <w:bookmarkStart w:id="108" w:name="_Toc322961188"/>
      <w:r w:rsidRPr="00682CE8">
        <w:rPr>
          <w:rStyle w:val="10"/>
          <w:rFonts w:ascii="Times New Roman" w:hAnsi="Times New Roman" w:cs="Times New Roman"/>
        </w:rPr>
        <w:lastRenderedPageBreak/>
        <w:t>Приложение 1 Разграничение функциональных обязанностей по проведению финансово-экономической экспертизы</w:t>
      </w:r>
      <w:bookmarkEnd w:id="103"/>
      <w:bookmarkEnd w:id="104"/>
      <w:bookmarkEnd w:id="105"/>
      <w:bookmarkEnd w:id="106"/>
    </w:p>
    <w:p w:rsidR="00682CE8" w:rsidRPr="00682CE8" w:rsidRDefault="00682CE8" w:rsidP="00682CE8">
      <w:pPr>
        <w:rPr>
          <w:b/>
          <w:bCs/>
        </w:rPr>
      </w:pP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6804"/>
      </w:tblGrid>
      <w:tr w:rsidR="00682CE8" w:rsidRPr="00682CE8" w:rsidTr="002522AC">
        <w:trPr>
          <w:trHeight w:val="600"/>
        </w:trPr>
        <w:tc>
          <w:tcPr>
            <w:tcW w:w="2567" w:type="dxa"/>
            <w:shd w:val="clear" w:color="auto" w:fill="auto"/>
            <w:noWrap/>
            <w:vAlign w:val="center"/>
          </w:tcPr>
          <w:p w:rsidR="00682CE8" w:rsidRPr="00682CE8" w:rsidRDefault="00682CE8" w:rsidP="002522AC">
            <w:pPr>
              <w:jc w:val="center"/>
              <w:rPr>
                <w:b/>
                <w:color w:val="000000"/>
              </w:rPr>
            </w:pPr>
            <w:r w:rsidRPr="00682CE8">
              <w:rPr>
                <w:b/>
                <w:color w:val="000000"/>
                <w:sz w:val="22"/>
                <w:szCs w:val="22"/>
              </w:rPr>
              <w:t>Эксперт по направлению</w:t>
            </w:r>
          </w:p>
        </w:tc>
        <w:tc>
          <w:tcPr>
            <w:tcW w:w="6804" w:type="dxa"/>
            <w:shd w:val="clear" w:color="auto" w:fill="auto"/>
            <w:vAlign w:val="center"/>
          </w:tcPr>
          <w:p w:rsidR="00682CE8" w:rsidRPr="00682CE8" w:rsidRDefault="00682CE8" w:rsidP="002522AC">
            <w:pPr>
              <w:jc w:val="center"/>
              <w:rPr>
                <w:b/>
                <w:color w:val="000000"/>
              </w:rPr>
            </w:pPr>
            <w:r w:rsidRPr="00682CE8">
              <w:rPr>
                <w:b/>
                <w:color w:val="000000"/>
                <w:sz w:val="22"/>
                <w:szCs w:val="22"/>
              </w:rPr>
              <w:t>Проведение финансово-экономической экспертизы</w:t>
            </w:r>
          </w:p>
        </w:tc>
      </w:tr>
      <w:tr w:rsidR="00682CE8" w:rsidRPr="00682CE8" w:rsidTr="002522AC">
        <w:trPr>
          <w:trHeight w:val="1905"/>
        </w:trPr>
        <w:tc>
          <w:tcPr>
            <w:tcW w:w="2567" w:type="dxa"/>
            <w:shd w:val="clear" w:color="auto" w:fill="auto"/>
            <w:vAlign w:val="center"/>
          </w:tcPr>
          <w:p w:rsidR="00682CE8" w:rsidRPr="00682CE8" w:rsidRDefault="00682CE8" w:rsidP="002522AC">
            <w:pPr>
              <w:rPr>
                <w:color w:val="000000"/>
              </w:rPr>
            </w:pPr>
            <w:r w:rsidRPr="00682CE8">
              <w:rPr>
                <w:color w:val="000000"/>
                <w:sz w:val="22"/>
                <w:szCs w:val="22"/>
              </w:rPr>
              <w:t>Работник</w:t>
            </w:r>
          </w:p>
          <w:p w:rsidR="00682CE8" w:rsidRPr="00682CE8" w:rsidRDefault="00682CE8" w:rsidP="002522AC">
            <w:pPr>
              <w:rPr>
                <w:color w:val="000000"/>
              </w:rPr>
            </w:pPr>
            <w:r w:rsidRPr="00682CE8">
              <w:rPr>
                <w:color w:val="000000"/>
                <w:sz w:val="22"/>
                <w:szCs w:val="22"/>
              </w:rPr>
              <w:t>Финансово-экономического центра</w:t>
            </w:r>
          </w:p>
          <w:p w:rsidR="00682CE8" w:rsidRPr="00682CE8" w:rsidRDefault="00682CE8" w:rsidP="002522AC">
            <w:pPr>
              <w:rPr>
                <w:color w:val="000000"/>
              </w:rPr>
            </w:pPr>
            <w:r w:rsidRPr="00682CE8">
              <w:rPr>
                <w:color w:val="000000"/>
                <w:sz w:val="22"/>
                <w:szCs w:val="22"/>
              </w:rPr>
              <w:t>ОАО «</w:t>
            </w:r>
            <w:proofErr w:type="spellStart"/>
            <w:r w:rsidRPr="00682CE8">
              <w:rPr>
                <w:color w:val="000000"/>
                <w:sz w:val="22"/>
                <w:szCs w:val="22"/>
              </w:rPr>
              <w:t>Интер</w:t>
            </w:r>
            <w:proofErr w:type="spellEnd"/>
            <w:r w:rsidRPr="00682CE8">
              <w:rPr>
                <w:color w:val="000000"/>
                <w:sz w:val="22"/>
                <w:szCs w:val="22"/>
              </w:rPr>
              <w:t xml:space="preserve"> РАО»</w:t>
            </w:r>
          </w:p>
        </w:tc>
        <w:tc>
          <w:tcPr>
            <w:tcW w:w="6804" w:type="dxa"/>
            <w:shd w:val="clear" w:color="auto" w:fill="auto"/>
            <w:vAlign w:val="center"/>
          </w:tcPr>
          <w:p w:rsidR="00682CE8" w:rsidRPr="00682CE8" w:rsidRDefault="00682CE8" w:rsidP="002522AC">
            <w:pPr>
              <w:rPr>
                <w:color w:val="000000"/>
              </w:rPr>
            </w:pPr>
            <w:r w:rsidRPr="00682CE8">
              <w:rPr>
                <w:color w:val="000000"/>
                <w:sz w:val="22"/>
                <w:szCs w:val="22"/>
              </w:rPr>
              <w:t xml:space="preserve">1) закупочные процедуры Группы, сумма по которым превышает </w:t>
            </w:r>
            <w:r w:rsidRPr="00682CE8">
              <w:rPr>
                <w:b/>
                <w:color w:val="000000"/>
                <w:sz w:val="22"/>
                <w:szCs w:val="22"/>
              </w:rPr>
              <w:t>250 млн. рублей</w:t>
            </w:r>
            <w:r w:rsidRPr="00682CE8">
              <w:rPr>
                <w:color w:val="000000"/>
                <w:sz w:val="22"/>
                <w:szCs w:val="22"/>
              </w:rPr>
              <w:t xml:space="preserve"> без НДС*;</w:t>
            </w:r>
          </w:p>
          <w:p w:rsidR="00682CE8" w:rsidRPr="00682CE8" w:rsidRDefault="00682CE8" w:rsidP="002522AC">
            <w:pPr>
              <w:rPr>
                <w:color w:val="000000"/>
              </w:rPr>
            </w:pPr>
            <w:r w:rsidRPr="00682CE8">
              <w:rPr>
                <w:color w:val="000000"/>
                <w:sz w:val="22"/>
                <w:szCs w:val="22"/>
              </w:rPr>
              <w:t>2) закупочные процедуры Группы связанные с покупкой и транспортировкой топлива для нужд российских генерирующих активов;</w:t>
            </w:r>
          </w:p>
          <w:p w:rsidR="00682CE8" w:rsidRPr="00682CE8" w:rsidRDefault="00682CE8" w:rsidP="002522AC">
            <w:pPr>
              <w:rPr>
                <w:color w:val="000000"/>
              </w:rPr>
            </w:pPr>
            <w:r w:rsidRPr="00682CE8">
              <w:rPr>
                <w:color w:val="000000"/>
                <w:sz w:val="22"/>
                <w:szCs w:val="22"/>
              </w:rPr>
              <w:t>3) закупочные процедуры Группы на оказание услуг банков, лизинговых компаний, страховых компаний и иных финансовых организаций**;</w:t>
            </w:r>
          </w:p>
        </w:tc>
      </w:tr>
      <w:tr w:rsidR="00682CE8" w:rsidRPr="00682CE8" w:rsidTr="002522AC">
        <w:trPr>
          <w:trHeight w:val="975"/>
        </w:trPr>
        <w:tc>
          <w:tcPr>
            <w:tcW w:w="2567" w:type="dxa"/>
            <w:shd w:val="clear" w:color="auto" w:fill="auto"/>
            <w:vAlign w:val="center"/>
          </w:tcPr>
          <w:p w:rsidR="00682CE8" w:rsidRPr="00682CE8" w:rsidRDefault="00682CE8" w:rsidP="002522AC">
            <w:pPr>
              <w:rPr>
                <w:color w:val="000000"/>
              </w:rPr>
            </w:pPr>
            <w:r w:rsidRPr="00682CE8">
              <w:rPr>
                <w:color w:val="000000"/>
                <w:sz w:val="22"/>
                <w:szCs w:val="22"/>
              </w:rPr>
              <w:t xml:space="preserve">Работник </w:t>
            </w:r>
          </w:p>
          <w:p w:rsidR="00682CE8" w:rsidRPr="00682CE8" w:rsidRDefault="00682CE8" w:rsidP="002522AC">
            <w:pPr>
              <w:rPr>
                <w:color w:val="000000"/>
              </w:rPr>
            </w:pPr>
            <w:r w:rsidRPr="00682CE8">
              <w:rPr>
                <w:color w:val="000000"/>
                <w:sz w:val="22"/>
                <w:szCs w:val="22"/>
              </w:rPr>
              <w:t>ООО «ИНТЕР РАО – Центр управления закупками» (СЗО)</w:t>
            </w:r>
          </w:p>
        </w:tc>
        <w:tc>
          <w:tcPr>
            <w:tcW w:w="6804" w:type="dxa"/>
            <w:shd w:val="clear" w:color="auto" w:fill="auto"/>
            <w:vAlign w:val="center"/>
          </w:tcPr>
          <w:p w:rsidR="00682CE8" w:rsidRPr="00682CE8" w:rsidRDefault="00682CE8" w:rsidP="002522AC">
            <w:pPr>
              <w:rPr>
                <w:color w:val="000000"/>
              </w:rPr>
            </w:pPr>
            <w:r w:rsidRPr="00682CE8">
              <w:rPr>
                <w:color w:val="000000"/>
                <w:sz w:val="22"/>
                <w:szCs w:val="22"/>
              </w:rPr>
              <w:t>закупочные процедуры Группы, сумма по которым не превышает 250 млн. рублей без НДС, организатором которых является ООО «ИНТЕР РАО – Центр управления закупками» (СЗО) в части не противоречащей подпункту выше</w:t>
            </w:r>
          </w:p>
        </w:tc>
      </w:tr>
      <w:tr w:rsidR="00682CE8" w:rsidRPr="00682CE8" w:rsidTr="002522AC">
        <w:trPr>
          <w:trHeight w:val="916"/>
        </w:trPr>
        <w:tc>
          <w:tcPr>
            <w:tcW w:w="2567" w:type="dxa"/>
            <w:shd w:val="clear" w:color="auto" w:fill="auto"/>
            <w:vAlign w:val="center"/>
          </w:tcPr>
          <w:p w:rsidR="00682CE8" w:rsidRPr="00682CE8" w:rsidRDefault="00682CE8" w:rsidP="002522AC">
            <w:pPr>
              <w:rPr>
                <w:color w:val="000000"/>
              </w:rPr>
            </w:pPr>
            <w:r w:rsidRPr="00682CE8">
              <w:rPr>
                <w:color w:val="000000"/>
                <w:sz w:val="22"/>
                <w:szCs w:val="22"/>
              </w:rPr>
              <w:t>Работник</w:t>
            </w:r>
          </w:p>
          <w:p w:rsidR="00682CE8" w:rsidRPr="00682CE8" w:rsidRDefault="00682CE8" w:rsidP="002522AC">
            <w:pPr>
              <w:rPr>
                <w:color w:val="000000"/>
              </w:rPr>
            </w:pPr>
            <w:r w:rsidRPr="00682CE8">
              <w:rPr>
                <w:color w:val="000000"/>
                <w:sz w:val="22"/>
                <w:szCs w:val="22"/>
              </w:rPr>
              <w:t>финансово-экономической службы соответствующего ДЗО</w:t>
            </w:r>
          </w:p>
        </w:tc>
        <w:tc>
          <w:tcPr>
            <w:tcW w:w="6804" w:type="dxa"/>
            <w:shd w:val="clear" w:color="auto" w:fill="auto"/>
            <w:vAlign w:val="center"/>
          </w:tcPr>
          <w:p w:rsidR="00682CE8" w:rsidRPr="00682CE8" w:rsidRDefault="00682CE8" w:rsidP="002522AC">
            <w:pPr>
              <w:rPr>
                <w:color w:val="000000"/>
              </w:rPr>
            </w:pPr>
            <w:r w:rsidRPr="00682CE8">
              <w:rPr>
                <w:color w:val="000000"/>
                <w:sz w:val="22"/>
                <w:szCs w:val="22"/>
              </w:rPr>
              <w:t>закупочные процедуры, осуществляемые для собственных нужд ДЗО, организаторами которых являются соответствующие ДЗО, сумма закупки не превышает 250 млн. рублей без НДС в части не противоречащей подпунктам выше</w:t>
            </w:r>
          </w:p>
        </w:tc>
      </w:tr>
    </w:tbl>
    <w:p w:rsidR="00682CE8" w:rsidRPr="00682CE8" w:rsidRDefault="00682CE8" w:rsidP="00682CE8">
      <w:pPr>
        <w:jc w:val="both"/>
        <w:rPr>
          <w:i/>
          <w:sz w:val="20"/>
          <w:szCs w:val="20"/>
        </w:rPr>
      </w:pPr>
      <w:r w:rsidRPr="00682CE8">
        <w:rPr>
          <w:i/>
          <w:sz w:val="20"/>
          <w:szCs w:val="20"/>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Для конкурентных закупочных процедур, по итогам проведения которых планируется заключение рамочных соглашений и договоров,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rsidR="00682CE8" w:rsidRPr="00682CE8" w:rsidRDefault="00682CE8" w:rsidP="00682CE8">
      <w:pPr>
        <w:jc w:val="both"/>
        <w:rPr>
          <w:i/>
          <w:sz w:val="20"/>
          <w:szCs w:val="20"/>
        </w:rPr>
      </w:pPr>
      <w:r w:rsidRPr="00682CE8">
        <w:rPr>
          <w:i/>
          <w:sz w:val="20"/>
          <w:szCs w:val="20"/>
        </w:rPr>
        <w:t>** оценка финансовой устойчивости финансовых организаций проводится на основе Методики оценки и ограничения кредитного риска по операциям с банками-контрагентами и прочими финансовыми организациями, утвержденной приказом № ИРАО/327 от 29.05.2012</w:t>
      </w:r>
    </w:p>
    <w:p w:rsidR="00682CE8" w:rsidRPr="00682CE8" w:rsidRDefault="00682CE8" w:rsidP="00682CE8">
      <w:pPr>
        <w:jc w:val="both"/>
        <w:rPr>
          <w:rFonts w:eastAsia="Calibri"/>
          <w:b/>
          <w:lang w:eastAsia="en-US"/>
        </w:rPr>
      </w:pPr>
      <w:r w:rsidRPr="00682CE8">
        <w:br w:type="page"/>
      </w:r>
      <w:r w:rsidRPr="00682CE8">
        <w:rPr>
          <w:rFonts w:eastAsia="Calibri"/>
          <w:b/>
          <w:lang w:eastAsia="en-US"/>
        </w:rPr>
        <w:lastRenderedPageBreak/>
        <w:t>Функции контроля в части проведения финансово-экономической экспертизы</w:t>
      </w:r>
    </w:p>
    <w:p w:rsidR="00682CE8" w:rsidRPr="00682CE8" w:rsidRDefault="00682CE8" w:rsidP="00682CE8">
      <w:pPr>
        <w:spacing w:after="200"/>
        <w:ind w:firstLine="709"/>
        <w:contextualSpacing/>
        <w:jc w:val="both"/>
        <w:rPr>
          <w:rFonts w:eastAsia="Calibri"/>
          <w:lang w:eastAsia="en-US"/>
        </w:rPr>
      </w:pPr>
    </w:p>
    <w:p w:rsidR="00682CE8" w:rsidRPr="00682CE8" w:rsidRDefault="00682CE8" w:rsidP="00682CE8">
      <w:pPr>
        <w:spacing w:after="200"/>
        <w:ind w:firstLine="709"/>
        <w:contextualSpacing/>
        <w:jc w:val="both"/>
        <w:rPr>
          <w:rFonts w:eastAsia="Calibri"/>
          <w:lang w:eastAsia="en-US"/>
        </w:rPr>
      </w:pPr>
      <w:r w:rsidRPr="00682CE8">
        <w:rPr>
          <w:rFonts w:eastAsia="Calibri"/>
          <w:lang w:eastAsia="en-US"/>
        </w:rPr>
        <w:t>Для целей оперативного мониторинга и анализа эффективности мероприятий по проведению финансово-экономической экспертизы ООО «ИНТЕР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«ИНТЕР РАО – Центр управления закупками» для нужд компаний Группы «</w:t>
      </w:r>
      <w:proofErr w:type="spellStart"/>
      <w:r w:rsidRPr="00682CE8">
        <w:rPr>
          <w:rFonts w:eastAsia="Calibri"/>
          <w:lang w:eastAsia="en-US"/>
        </w:rPr>
        <w:t>Интер</w:t>
      </w:r>
      <w:proofErr w:type="spellEnd"/>
      <w:r w:rsidRPr="00682CE8">
        <w:rPr>
          <w:rFonts w:eastAsia="Calibri"/>
          <w:lang w:eastAsia="en-US"/>
        </w:rPr>
        <w:t xml:space="preserve"> РАО».</w:t>
      </w:r>
    </w:p>
    <w:p w:rsidR="00682CE8" w:rsidRPr="00682CE8" w:rsidRDefault="00682CE8" w:rsidP="00682CE8">
      <w:pPr>
        <w:spacing w:after="200"/>
        <w:ind w:firstLine="709"/>
        <w:contextualSpacing/>
        <w:jc w:val="both"/>
        <w:rPr>
          <w:rFonts w:eastAsia="Calibri"/>
          <w:lang w:eastAsia="en-US"/>
        </w:rPr>
      </w:pPr>
      <w:r w:rsidRPr="00682CE8">
        <w:rPr>
          <w:rFonts w:eastAsia="Calibri"/>
          <w:lang w:eastAsia="en-US"/>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«ИНТЕР РАО – Центр управления закупками» (СЗО) формирует и направляет официальным письмом в адрес руководителя Финансово-экономического центра ОАО «</w:t>
      </w:r>
      <w:proofErr w:type="spellStart"/>
      <w:r w:rsidRPr="00682CE8">
        <w:rPr>
          <w:rFonts w:eastAsia="Calibri"/>
          <w:lang w:eastAsia="en-US"/>
        </w:rPr>
        <w:t>Интер</w:t>
      </w:r>
      <w:proofErr w:type="spellEnd"/>
      <w:r w:rsidRPr="00682CE8">
        <w:rPr>
          <w:rFonts w:eastAsia="Calibri"/>
          <w:lang w:eastAsia="en-US"/>
        </w:rPr>
        <w:t xml:space="preserve"> РАО» отчет о проведенных финансово-экономических экспертизах по всем состоявшимся закупочным процедурам, организованным, ООО «ИНТЕР РАО – Центр управления закупками» (СЗО), на сумму свыше 30 млн. рублей без НДС. Отчет предоставляется в формате таблицы </w:t>
      </w:r>
      <w:r w:rsidRPr="00682CE8">
        <w:rPr>
          <w:rFonts w:eastAsia="Calibri"/>
          <w:lang w:val="en-US" w:eastAsia="en-US"/>
        </w:rPr>
        <w:t>MSEXCEL</w:t>
      </w:r>
      <w:r w:rsidRPr="00682CE8">
        <w:rPr>
          <w:rFonts w:eastAsia="Calibri"/>
          <w:lang w:eastAsia="en-US"/>
        </w:rPr>
        <w:t xml:space="preserve"> и по каждой закупочной процедуре содержит следующие поля:</w:t>
      </w:r>
    </w:p>
    <w:p w:rsidR="00682CE8" w:rsidRPr="00682CE8" w:rsidRDefault="00682CE8" w:rsidP="00682CE8">
      <w:pPr>
        <w:spacing w:after="200"/>
        <w:ind w:firstLine="709"/>
        <w:contextualSpacing/>
        <w:jc w:val="both"/>
        <w:rPr>
          <w:rFonts w:eastAsia="Calibri"/>
          <w:lang w:eastAsia="en-US"/>
        </w:rPr>
      </w:pPr>
    </w:p>
    <w:p w:rsidR="00682CE8" w:rsidRPr="00682CE8" w:rsidRDefault="00682CE8" w:rsidP="00682CE8">
      <w:pPr>
        <w:numPr>
          <w:ilvl w:val="0"/>
          <w:numId w:val="16"/>
        </w:numPr>
        <w:spacing w:after="200"/>
        <w:contextualSpacing/>
        <w:jc w:val="both"/>
        <w:rPr>
          <w:rFonts w:eastAsia="Calibri"/>
          <w:lang w:eastAsia="en-US"/>
        </w:rPr>
      </w:pPr>
      <w:r w:rsidRPr="00682CE8">
        <w:rPr>
          <w:rFonts w:eastAsia="Calibri"/>
          <w:lang w:eastAsia="en-US"/>
        </w:rPr>
        <w:t>Наименование закупочной процедуры (Лот №);</w:t>
      </w:r>
    </w:p>
    <w:p w:rsidR="00682CE8" w:rsidRPr="00682CE8" w:rsidRDefault="00682CE8" w:rsidP="00682CE8">
      <w:pPr>
        <w:numPr>
          <w:ilvl w:val="0"/>
          <w:numId w:val="16"/>
        </w:numPr>
        <w:spacing w:after="200"/>
        <w:contextualSpacing/>
        <w:jc w:val="both"/>
        <w:rPr>
          <w:rFonts w:eastAsia="Calibri"/>
          <w:lang w:eastAsia="en-US"/>
        </w:rPr>
      </w:pPr>
      <w:r w:rsidRPr="00682CE8">
        <w:rPr>
          <w:rFonts w:eastAsia="Calibri"/>
          <w:lang w:eastAsia="en-US"/>
        </w:rPr>
        <w:t>Стоимость, предложенная победителем (тыс. рублей без НДС);</w:t>
      </w:r>
    </w:p>
    <w:p w:rsidR="00682CE8" w:rsidRPr="00682CE8" w:rsidRDefault="00682CE8" w:rsidP="00682CE8">
      <w:pPr>
        <w:numPr>
          <w:ilvl w:val="0"/>
          <w:numId w:val="16"/>
        </w:numPr>
        <w:spacing w:after="200"/>
        <w:contextualSpacing/>
        <w:jc w:val="both"/>
        <w:rPr>
          <w:rFonts w:eastAsia="Calibri"/>
          <w:lang w:eastAsia="en-US"/>
        </w:rPr>
      </w:pPr>
      <w:r w:rsidRPr="00682CE8">
        <w:rPr>
          <w:rFonts w:eastAsia="Calibri"/>
          <w:lang w:eastAsia="en-US"/>
        </w:rPr>
        <w:t>Победитель закупочной процедуры (ИНН);</w:t>
      </w:r>
    </w:p>
    <w:p w:rsidR="00682CE8" w:rsidRPr="00682CE8" w:rsidRDefault="00682CE8" w:rsidP="00682CE8">
      <w:pPr>
        <w:numPr>
          <w:ilvl w:val="0"/>
          <w:numId w:val="16"/>
        </w:numPr>
        <w:spacing w:after="200"/>
        <w:contextualSpacing/>
        <w:jc w:val="both"/>
        <w:rPr>
          <w:rFonts w:eastAsia="Calibri"/>
          <w:lang w:eastAsia="en-US"/>
        </w:rPr>
      </w:pPr>
      <w:r w:rsidRPr="00682CE8">
        <w:rPr>
          <w:rFonts w:eastAsia="Calibri"/>
          <w:lang w:eastAsia="en-US"/>
        </w:rPr>
        <w:t xml:space="preserve">Экспертная оценка победителя в рамках </w:t>
      </w:r>
      <w:proofErr w:type="spellStart"/>
      <w:r w:rsidRPr="00682CE8">
        <w:rPr>
          <w:rFonts w:eastAsia="Calibri"/>
          <w:lang w:eastAsia="en-US"/>
        </w:rPr>
        <w:t>финэкспертизы</w:t>
      </w:r>
      <w:proofErr w:type="spellEnd"/>
      <w:r w:rsidRPr="00682CE8">
        <w:rPr>
          <w:rFonts w:eastAsia="Calibri"/>
          <w:lang w:eastAsia="en-US"/>
        </w:rPr>
        <w:t xml:space="preserve"> (от 1 до 5);</w:t>
      </w:r>
    </w:p>
    <w:p w:rsidR="00682CE8" w:rsidRPr="00682CE8" w:rsidRDefault="00682CE8" w:rsidP="00682CE8">
      <w:pPr>
        <w:numPr>
          <w:ilvl w:val="0"/>
          <w:numId w:val="16"/>
        </w:numPr>
        <w:spacing w:after="200"/>
        <w:contextualSpacing/>
        <w:jc w:val="both"/>
        <w:rPr>
          <w:rFonts w:eastAsia="Calibri"/>
          <w:lang w:eastAsia="en-US"/>
        </w:rPr>
      </w:pPr>
      <w:r w:rsidRPr="00682CE8">
        <w:rPr>
          <w:rFonts w:eastAsia="Calibri"/>
          <w:lang w:eastAsia="en-US"/>
        </w:rPr>
        <w:t>Осуществлялись ли экспертные корректировки (да/нет).</w:t>
      </w:r>
    </w:p>
    <w:p w:rsidR="00682CE8" w:rsidRPr="00682CE8" w:rsidRDefault="00682CE8" w:rsidP="00682CE8">
      <w:pPr>
        <w:spacing w:after="200"/>
        <w:ind w:firstLine="709"/>
        <w:contextualSpacing/>
        <w:jc w:val="both"/>
        <w:rPr>
          <w:rFonts w:eastAsia="Calibri"/>
          <w:lang w:eastAsia="en-US"/>
        </w:rPr>
      </w:pPr>
    </w:p>
    <w:p w:rsidR="00682CE8" w:rsidRPr="00682CE8" w:rsidRDefault="00682CE8" w:rsidP="00682CE8">
      <w:pPr>
        <w:spacing w:after="200"/>
        <w:ind w:firstLine="709"/>
        <w:contextualSpacing/>
        <w:jc w:val="both"/>
        <w:rPr>
          <w:rFonts w:eastAsia="Calibri"/>
          <w:lang w:eastAsia="en-US"/>
        </w:rPr>
      </w:pPr>
      <w:r w:rsidRPr="00682CE8">
        <w:rPr>
          <w:rFonts w:eastAsia="Calibri"/>
          <w:lang w:eastAsia="en-US"/>
        </w:rPr>
        <w:t>При необходимости Финансово-экономическим центром ОАО «</w:t>
      </w:r>
      <w:proofErr w:type="spellStart"/>
      <w:r w:rsidRPr="00682CE8">
        <w:rPr>
          <w:rFonts w:eastAsia="Calibri"/>
          <w:lang w:eastAsia="en-US"/>
        </w:rPr>
        <w:t>Интер</w:t>
      </w:r>
      <w:proofErr w:type="spellEnd"/>
      <w:r w:rsidRPr="00682CE8">
        <w:rPr>
          <w:rFonts w:eastAsia="Calibri"/>
          <w:lang w:eastAsia="en-US"/>
        </w:rPr>
        <w:t xml:space="preserve"> РАО» может быть запрошена дополнительная информация по проведенным закупочным процедурам</w:t>
      </w:r>
    </w:p>
    <w:p w:rsidR="00682CE8" w:rsidRPr="00682CE8" w:rsidRDefault="00682CE8" w:rsidP="00682CE8">
      <w:pPr>
        <w:rPr>
          <w:rFonts w:eastAsia="Calibri"/>
          <w:i/>
          <w:sz w:val="20"/>
          <w:szCs w:val="20"/>
          <w:lang w:eastAsia="en-US"/>
        </w:rPr>
      </w:pPr>
    </w:p>
    <w:p w:rsidR="00682CE8" w:rsidRPr="00682CE8" w:rsidRDefault="00682CE8" w:rsidP="00682CE8">
      <w:pPr>
        <w:rPr>
          <w:rStyle w:val="10"/>
          <w:rFonts w:ascii="Times New Roman" w:hAnsi="Times New Roman" w:cs="Times New Roman"/>
        </w:rPr>
      </w:pPr>
      <w:r w:rsidRPr="00682CE8">
        <w:br w:type="page"/>
      </w:r>
      <w:bookmarkStart w:id="109" w:name="_Toc326067325"/>
      <w:bookmarkStart w:id="110" w:name="_Toc326077660"/>
      <w:r w:rsidRPr="00682CE8">
        <w:rPr>
          <w:rStyle w:val="10"/>
          <w:rFonts w:ascii="Times New Roman" w:hAnsi="Times New Roman" w:cs="Times New Roman"/>
        </w:rPr>
        <w:lastRenderedPageBreak/>
        <w:t>Приложение 2</w:t>
      </w:r>
      <w:bookmarkEnd w:id="107"/>
      <w:r w:rsidRPr="00682CE8">
        <w:rPr>
          <w:rStyle w:val="10"/>
          <w:rFonts w:ascii="Times New Roman" w:hAnsi="Times New Roman" w:cs="Times New Roman"/>
        </w:rPr>
        <w:t xml:space="preserve"> Алгоритм действия Эксперта при подготовке заключения по направлению финансово-экономической экспертизы</w:t>
      </w:r>
      <w:bookmarkEnd w:id="109"/>
      <w:bookmarkEnd w:id="110"/>
      <w:bookmarkEnd w:id="108"/>
      <w:r w:rsidRPr="00682CE8">
        <w:rPr>
          <w:rStyle w:val="10"/>
          <w:rFonts w:ascii="Times New Roman" w:hAnsi="Times New Roman" w:cs="Times New Roman"/>
        </w:rPr>
        <w:t>с использованием шаблона «</w:t>
      </w:r>
      <w:proofErr w:type="spellStart"/>
      <w:r w:rsidRPr="00682CE8">
        <w:rPr>
          <w:rStyle w:val="10"/>
          <w:rFonts w:ascii="Times New Roman" w:hAnsi="Times New Roman" w:cs="Times New Roman"/>
        </w:rPr>
        <w:t>Финэкспертиза</w:t>
      </w:r>
      <w:proofErr w:type="spellEnd"/>
      <w:r w:rsidRPr="00682CE8">
        <w:rPr>
          <w:rStyle w:val="10"/>
          <w:rFonts w:ascii="Times New Roman" w:hAnsi="Times New Roman" w:cs="Times New Roman"/>
        </w:rPr>
        <w:t>.</w:t>
      </w:r>
      <w:proofErr w:type="spellStart"/>
      <w:r w:rsidRPr="00682CE8">
        <w:rPr>
          <w:rStyle w:val="10"/>
          <w:rFonts w:ascii="Times New Roman" w:hAnsi="Times New Roman" w:cs="Times New Roman"/>
          <w:lang w:val="en-US"/>
        </w:rPr>
        <w:t>xls</w:t>
      </w:r>
      <w:proofErr w:type="spellEnd"/>
      <w:r w:rsidRPr="00682CE8">
        <w:rPr>
          <w:rStyle w:val="10"/>
          <w:rFonts w:ascii="Times New Roman" w:hAnsi="Times New Roman" w:cs="Times New Roman"/>
        </w:rPr>
        <w:t>»</w:t>
      </w:r>
    </w:p>
    <w:p w:rsidR="00682CE8" w:rsidRPr="00682CE8" w:rsidRDefault="00682CE8" w:rsidP="00682CE8"/>
    <w:p w:rsidR="00682CE8" w:rsidRPr="00682CE8" w:rsidRDefault="00682CE8" w:rsidP="00682CE8">
      <w:pPr>
        <w:numPr>
          <w:ilvl w:val="0"/>
          <w:numId w:val="8"/>
        </w:numPr>
        <w:jc w:val="both"/>
        <w:rPr>
          <w:b/>
        </w:rPr>
      </w:pPr>
      <w:r w:rsidRPr="00682CE8">
        <w:rPr>
          <w:b/>
        </w:rPr>
        <w:t>Формат заключения</w:t>
      </w:r>
    </w:p>
    <w:p w:rsidR="00682CE8" w:rsidRPr="00682CE8" w:rsidRDefault="00682CE8" w:rsidP="00682CE8">
      <w:pPr>
        <w:numPr>
          <w:ilvl w:val="1"/>
          <w:numId w:val="8"/>
        </w:numPr>
        <w:jc w:val="both"/>
        <w:rPr>
          <w:b/>
        </w:rPr>
      </w:pPr>
      <w:r w:rsidRPr="00682CE8">
        <w:t>Для реализации подхода к проведению финансово-экономической экспертизы согласно Методике Финансово-экономическим центром ОАО «</w:t>
      </w:r>
      <w:proofErr w:type="spellStart"/>
      <w:r w:rsidRPr="00682CE8">
        <w:t>Интер</w:t>
      </w:r>
      <w:proofErr w:type="spellEnd"/>
      <w:r w:rsidRPr="00682CE8">
        <w:t xml:space="preserve"> РАО» разработан шаблон «</w:t>
      </w:r>
      <w:proofErr w:type="spellStart"/>
      <w:r w:rsidRPr="00682CE8">
        <w:t>Финэкспертиза</w:t>
      </w:r>
      <w:proofErr w:type="spellEnd"/>
      <w:r w:rsidRPr="00682CE8">
        <w:t>.</w:t>
      </w:r>
      <w:proofErr w:type="spellStart"/>
      <w:r w:rsidRPr="00682CE8">
        <w:rPr>
          <w:lang w:val="en-US"/>
        </w:rPr>
        <w:t>xls</w:t>
      </w:r>
      <w:proofErr w:type="spellEnd"/>
      <w:r w:rsidRPr="00682CE8">
        <w:t xml:space="preserve">» (файл в формате </w:t>
      </w:r>
      <w:r w:rsidRPr="00682CE8">
        <w:rPr>
          <w:lang w:val="en-US"/>
        </w:rPr>
        <w:t>MSExcel</w:t>
      </w:r>
      <w:r w:rsidRPr="00682CE8">
        <w:t>),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ранжирования участников закупочной процедуры. Шаблон «</w:t>
      </w:r>
      <w:proofErr w:type="spellStart"/>
      <w:r w:rsidRPr="00682CE8">
        <w:t>Финэкспертиза</w:t>
      </w:r>
      <w:proofErr w:type="spellEnd"/>
      <w:r w:rsidRPr="00682CE8">
        <w:t>.</w:t>
      </w:r>
      <w:proofErr w:type="spellStart"/>
      <w:r w:rsidRPr="00682CE8">
        <w:rPr>
          <w:lang w:val="en-US"/>
        </w:rPr>
        <w:t>xls</w:t>
      </w:r>
      <w:proofErr w:type="spellEnd"/>
      <w:r w:rsidRPr="00682CE8">
        <w:t>» прикладывается к Методике.</w:t>
      </w:r>
    </w:p>
    <w:p w:rsidR="00682CE8" w:rsidRPr="00682CE8" w:rsidRDefault="00682CE8" w:rsidP="00682CE8">
      <w:pPr>
        <w:numPr>
          <w:ilvl w:val="1"/>
          <w:numId w:val="8"/>
        </w:numPr>
        <w:jc w:val="both"/>
        <w:rPr>
          <w:b/>
        </w:rPr>
      </w:pPr>
      <w:r w:rsidRPr="00682CE8">
        <w:t>Заключение по направлению финансово-экономической экспертизы готовится Экспертом по форме, установленной в приложении 3. Формат таблицы в приложении полностью соответствует формату шаблона «</w:t>
      </w:r>
      <w:proofErr w:type="spellStart"/>
      <w:r w:rsidRPr="00682CE8">
        <w:t>Финэкспертиза</w:t>
      </w:r>
      <w:proofErr w:type="spellEnd"/>
      <w:r w:rsidRPr="00682CE8">
        <w:t>.</w:t>
      </w:r>
      <w:proofErr w:type="spellStart"/>
      <w:r w:rsidRPr="00682CE8">
        <w:rPr>
          <w:lang w:val="en-US"/>
        </w:rPr>
        <w:t>xls</w:t>
      </w:r>
      <w:proofErr w:type="spellEnd"/>
      <w:r w:rsidRPr="00682CE8">
        <w:t>», используемого для расчёта финансовых коэффициентов.</w:t>
      </w:r>
    </w:p>
    <w:p w:rsidR="00682CE8" w:rsidRPr="00682CE8" w:rsidRDefault="00682CE8" w:rsidP="00682CE8">
      <w:pPr>
        <w:numPr>
          <w:ilvl w:val="0"/>
          <w:numId w:val="8"/>
        </w:numPr>
        <w:jc w:val="both"/>
        <w:rPr>
          <w:b/>
        </w:rPr>
      </w:pPr>
      <w:r w:rsidRPr="00682CE8">
        <w:rPr>
          <w:b/>
        </w:rPr>
        <w:t>Оценка по критериям и подготовка заключения</w:t>
      </w:r>
    </w:p>
    <w:p w:rsidR="00682CE8" w:rsidRPr="00682CE8" w:rsidRDefault="00682CE8" w:rsidP="00682CE8">
      <w:pPr>
        <w:numPr>
          <w:ilvl w:val="1"/>
          <w:numId w:val="8"/>
        </w:numPr>
        <w:jc w:val="both"/>
      </w:pPr>
      <w:r w:rsidRPr="00682CE8">
        <w:t>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в извещении о проведении закупочной процедуры и закупочной документации. Эксперт должен проверить наличие и полноту документов, необходимых для проведения финансово-экономической экспертизы. Эксперт вправе предложить закупочной комиссии затребовать от любого участника закупочной процедуры предоставления дополнительных сведений, необходимых для проведения экспертизы. Такое предложение должно сопровождаться письменным обоснованием необходимости запрашиваемой информации для оценки.</w:t>
      </w:r>
    </w:p>
    <w:p w:rsidR="00682CE8" w:rsidRPr="00682CE8" w:rsidRDefault="00682CE8" w:rsidP="00682CE8">
      <w:pPr>
        <w:numPr>
          <w:ilvl w:val="1"/>
          <w:numId w:val="8"/>
        </w:numPr>
        <w:jc w:val="both"/>
      </w:pPr>
      <w:r w:rsidRPr="00682CE8">
        <w:t>Подготовка заключения начинается с внесения Экспертом исходных данных в шаблон «</w:t>
      </w:r>
      <w:proofErr w:type="spellStart"/>
      <w:r w:rsidRPr="00682CE8">
        <w:t>Финэкспертиза</w:t>
      </w:r>
      <w:proofErr w:type="spellEnd"/>
      <w:r w:rsidRPr="00682CE8">
        <w:t>.</w:t>
      </w:r>
      <w:proofErr w:type="spellStart"/>
      <w:r w:rsidRPr="00682CE8">
        <w:rPr>
          <w:lang w:val="en-US"/>
        </w:rPr>
        <w:t>xls</w:t>
      </w:r>
      <w:proofErr w:type="spellEnd"/>
      <w:r w:rsidRPr="00682CE8">
        <w:t>» для осуществления оценки. Обязательными для заполнения являются следующие графы таблицы:</w:t>
      </w:r>
    </w:p>
    <w:p w:rsidR="00682CE8" w:rsidRPr="00682CE8" w:rsidRDefault="00682CE8" w:rsidP="00682CE8">
      <w:pPr>
        <w:numPr>
          <w:ilvl w:val="0"/>
          <w:numId w:val="9"/>
        </w:numPr>
        <w:jc w:val="both"/>
      </w:pPr>
      <w:r w:rsidRPr="00682CE8">
        <w:t>название компании;</w:t>
      </w:r>
    </w:p>
    <w:p w:rsidR="00682CE8" w:rsidRPr="00682CE8" w:rsidRDefault="00682CE8" w:rsidP="00682CE8">
      <w:pPr>
        <w:numPr>
          <w:ilvl w:val="0"/>
          <w:numId w:val="9"/>
        </w:numPr>
        <w:jc w:val="both"/>
      </w:pPr>
      <w:r w:rsidRPr="00682CE8">
        <w:t>ИНН;</w:t>
      </w:r>
    </w:p>
    <w:p w:rsidR="00682CE8" w:rsidRPr="00682CE8" w:rsidRDefault="00682CE8" w:rsidP="00682CE8">
      <w:pPr>
        <w:numPr>
          <w:ilvl w:val="0"/>
          <w:numId w:val="9"/>
        </w:numPr>
        <w:jc w:val="both"/>
      </w:pPr>
      <w:r w:rsidRPr="00682CE8">
        <w:t>регион;</w:t>
      </w:r>
    </w:p>
    <w:p w:rsidR="00682CE8" w:rsidRPr="00682CE8" w:rsidRDefault="00682CE8" w:rsidP="00682CE8">
      <w:pPr>
        <w:numPr>
          <w:ilvl w:val="0"/>
          <w:numId w:val="9"/>
        </w:numPr>
        <w:jc w:val="both"/>
      </w:pPr>
      <w:r w:rsidRPr="00682CE8">
        <w:t>дата регистрации;</w:t>
      </w:r>
    </w:p>
    <w:p w:rsidR="00682CE8" w:rsidRPr="00682CE8" w:rsidRDefault="00682CE8" w:rsidP="00682CE8">
      <w:pPr>
        <w:numPr>
          <w:ilvl w:val="0"/>
          <w:numId w:val="9"/>
        </w:numPr>
        <w:jc w:val="both"/>
      </w:pPr>
      <w:r w:rsidRPr="00682CE8">
        <w:t>основной вид деятельности (ОКВЭД);</w:t>
      </w:r>
    </w:p>
    <w:p w:rsidR="00682CE8" w:rsidRPr="00682CE8" w:rsidRDefault="00682CE8" w:rsidP="00682CE8">
      <w:pPr>
        <w:numPr>
          <w:ilvl w:val="0"/>
          <w:numId w:val="9"/>
        </w:numPr>
        <w:jc w:val="both"/>
      </w:pPr>
      <w:r w:rsidRPr="00682CE8">
        <w:t>стоимость предложения, тыс. руб. без НДС</w:t>
      </w:r>
    </w:p>
    <w:p w:rsidR="00682CE8" w:rsidRPr="00682CE8" w:rsidRDefault="00682CE8" w:rsidP="00682CE8">
      <w:pPr>
        <w:numPr>
          <w:ilvl w:val="0"/>
          <w:numId w:val="9"/>
        </w:numPr>
        <w:jc w:val="both"/>
      </w:pPr>
      <w:r w:rsidRPr="00682CE8">
        <w:t>данные бухгалтерской отчетности</w:t>
      </w:r>
    </w:p>
    <w:p w:rsidR="00682CE8" w:rsidRPr="00682CE8" w:rsidRDefault="00682CE8" w:rsidP="00682CE8">
      <w:pPr>
        <w:numPr>
          <w:ilvl w:val="1"/>
          <w:numId w:val="8"/>
        </w:numPr>
        <w:jc w:val="both"/>
      </w:pPr>
      <w:r w:rsidRPr="00682CE8">
        <w:t>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отметкой налогового органа о приеме, копия устава, копия выписки из ЕГРЮЛ/ЕГРИП, анкета, а также оферта участника закупочной процедуры.</w:t>
      </w:r>
    </w:p>
    <w:p w:rsidR="00682CE8" w:rsidRPr="00682CE8" w:rsidRDefault="00682CE8" w:rsidP="00682CE8">
      <w:pPr>
        <w:numPr>
          <w:ilvl w:val="1"/>
          <w:numId w:val="8"/>
        </w:numPr>
        <w:jc w:val="both"/>
      </w:pPr>
      <w:r w:rsidRPr="00682CE8">
        <w:t>При наличии оплаченного доступа к информационно-аналитической системе «</w:t>
      </w:r>
      <w:proofErr w:type="spellStart"/>
      <w:r w:rsidRPr="00682CE8">
        <w:t>Спарк</w:t>
      </w:r>
      <w:proofErr w:type="spellEnd"/>
      <w:r w:rsidRPr="00682CE8">
        <w:t>-Интерфакс» (системе содержащей данные, включая регистрационные и бухгалтерские, по большинству российских юридических лиц) и доступа к сети интернет, в шаблоне «</w:t>
      </w:r>
      <w:proofErr w:type="spellStart"/>
      <w:r w:rsidRPr="00682CE8">
        <w:t>Финэкспертиза</w:t>
      </w:r>
      <w:proofErr w:type="spellEnd"/>
      <w:r w:rsidRPr="00682CE8">
        <w:t>.</w:t>
      </w:r>
      <w:proofErr w:type="spellStart"/>
      <w:r w:rsidRPr="00682CE8">
        <w:rPr>
          <w:lang w:val="en-US"/>
        </w:rPr>
        <w:t>xls</w:t>
      </w:r>
      <w:proofErr w:type="spellEnd"/>
      <w:r w:rsidRPr="00682CE8">
        <w:t>» предусмотрена возможность автоматического заполнения формы.</w:t>
      </w:r>
    </w:p>
    <w:p w:rsidR="00682CE8" w:rsidRPr="00682CE8" w:rsidRDefault="00682CE8" w:rsidP="00682CE8">
      <w:pPr>
        <w:ind w:left="792"/>
        <w:jc w:val="both"/>
      </w:pPr>
      <w:r w:rsidRPr="00682CE8">
        <w:t xml:space="preserve">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из </w:t>
      </w:r>
      <w:proofErr w:type="spellStart"/>
      <w:r w:rsidRPr="00682CE8">
        <w:t>Спарк</w:t>
      </w:r>
      <w:proofErr w:type="spellEnd"/>
      <w:r w:rsidRPr="00682CE8">
        <w:t>» автоматически заполняются поля сводной формы.</w:t>
      </w:r>
    </w:p>
    <w:p w:rsidR="00682CE8" w:rsidRPr="00682CE8" w:rsidRDefault="00682CE8" w:rsidP="00682CE8">
      <w:pPr>
        <w:ind w:left="792"/>
        <w:jc w:val="both"/>
      </w:pPr>
      <w:r w:rsidRPr="00682CE8">
        <w:lastRenderedPageBreak/>
        <w:t>В случае отсутствия каких-либо регистрационных или бухгалтерских данных по участнику закупочной процедуры в информационно-аналитической системе «</w:t>
      </w:r>
      <w:proofErr w:type="spellStart"/>
      <w:r w:rsidRPr="00682CE8">
        <w:t>Спарк</w:t>
      </w:r>
      <w:proofErr w:type="spellEnd"/>
      <w:r w:rsidRPr="00682CE8">
        <w:t>-Интерфакс» (как правило, это бухгалтерская отчетность за последний отчетный период) недостающая информация вносится в шаблон непосредственно Экспертом.</w:t>
      </w:r>
    </w:p>
    <w:p w:rsidR="00682CE8" w:rsidRPr="00682CE8" w:rsidRDefault="00682CE8" w:rsidP="00682CE8">
      <w:pPr>
        <w:ind w:left="792"/>
        <w:jc w:val="both"/>
      </w:pPr>
      <w:r w:rsidRPr="00682CE8">
        <w:t>Учитывая тот факт, что источником информации в системе «</w:t>
      </w:r>
      <w:proofErr w:type="spellStart"/>
      <w:r w:rsidRPr="00682CE8">
        <w:t>Спарк</w:t>
      </w:r>
      <w:proofErr w:type="spellEnd"/>
      <w:r w:rsidRPr="00682CE8">
        <w:t>-Интерфакс» 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информационно-аналитической системе «</w:t>
      </w:r>
      <w:proofErr w:type="spellStart"/>
      <w:r w:rsidRPr="00682CE8">
        <w:t>Спарк</w:t>
      </w:r>
      <w:proofErr w:type="spellEnd"/>
      <w:r w:rsidRPr="00682CE8">
        <w:t>-Интерфакс».</w:t>
      </w:r>
    </w:p>
    <w:p w:rsidR="00682CE8" w:rsidRPr="00682CE8" w:rsidRDefault="00682CE8" w:rsidP="00682CE8">
      <w:pPr>
        <w:ind w:left="792"/>
        <w:jc w:val="both"/>
      </w:pPr>
      <w:r w:rsidRPr="00682CE8">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информационно-аналитической системе «</w:t>
      </w:r>
      <w:proofErr w:type="spellStart"/>
      <w:r w:rsidRPr="00682CE8">
        <w:t>Спарк</w:t>
      </w:r>
      <w:proofErr w:type="spellEnd"/>
      <w:r w:rsidRPr="00682CE8">
        <w:t>-Интерфакс»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rsidR="00682CE8" w:rsidRPr="00682CE8" w:rsidRDefault="00682CE8" w:rsidP="00682CE8">
      <w:pPr>
        <w:numPr>
          <w:ilvl w:val="1"/>
          <w:numId w:val="8"/>
        </w:numPr>
        <w:jc w:val="both"/>
      </w:pPr>
      <w:r w:rsidRPr="00682CE8">
        <w:t>На основании данных бухгалтерской отчетности в шаблоне «</w:t>
      </w:r>
      <w:proofErr w:type="spellStart"/>
      <w:r w:rsidRPr="00682CE8">
        <w:t>Финэкспертиза</w:t>
      </w:r>
      <w:proofErr w:type="spellEnd"/>
      <w:r w:rsidRPr="00682CE8">
        <w:t>.</w:t>
      </w:r>
      <w:proofErr w:type="spellStart"/>
      <w:r w:rsidRPr="00682CE8">
        <w:rPr>
          <w:lang w:val="en-US"/>
        </w:rPr>
        <w:t>xls</w:t>
      </w:r>
      <w:proofErr w:type="spellEnd"/>
      <w:r w:rsidRPr="00682CE8">
        <w:t>» рассчитываются финансовые коэффициенты и в зависимости от принимаемых значений им присваиваются баллы от 0 до 1.</w:t>
      </w:r>
    </w:p>
    <w:p w:rsidR="00682CE8" w:rsidRPr="00682CE8" w:rsidRDefault="00682CE8" w:rsidP="00682CE8">
      <w:pPr>
        <w:numPr>
          <w:ilvl w:val="1"/>
          <w:numId w:val="8"/>
        </w:numPr>
        <w:jc w:val="both"/>
      </w:pPr>
      <w:r w:rsidRPr="00682CE8">
        <w:t>Затем Эксперт качественно оценивает бизнес-риски, в числе которых:</w:t>
      </w:r>
    </w:p>
    <w:p w:rsidR="00682CE8" w:rsidRPr="00682CE8" w:rsidRDefault="00682CE8" w:rsidP="00682CE8">
      <w:pPr>
        <w:jc w:val="both"/>
      </w:pPr>
    </w:p>
    <w:p w:rsidR="00682CE8" w:rsidRPr="00682CE8" w:rsidRDefault="00682CE8" w:rsidP="00682CE8">
      <w:pPr>
        <w:numPr>
          <w:ilvl w:val="0"/>
          <w:numId w:val="10"/>
        </w:numPr>
        <w:jc w:val="both"/>
      </w:pPr>
      <w:r w:rsidRPr="00682CE8">
        <w:t>соответствие основного вида деятельности по классификации ОКВЭД;</w:t>
      </w:r>
    </w:p>
    <w:p w:rsidR="00682CE8" w:rsidRPr="00682CE8" w:rsidRDefault="00682CE8" w:rsidP="00682CE8">
      <w:pPr>
        <w:numPr>
          <w:ilvl w:val="0"/>
          <w:numId w:val="10"/>
        </w:numPr>
        <w:jc w:val="both"/>
      </w:pPr>
      <w:r w:rsidRPr="00682CE8">
        <w:t>численность персонала;</w:t>
      </w:r>
    </w:p>
    <w:p w:rsidR="00682CE8" w:rsidRPr="00682CE8" w:rsidRDefault="00682CE8" w:rsidP="00682CE8">
      <w:pPr>
        <w:numPr>
          <w:ilvl w:val="0"/>
          <w:numId w:val="10"/>
        </w:numPr>
        <w:jc w:val="both"/>
      </w:pPr>
      <w:r w:rsidRPr="00682CE8">
        <w:t>регион ведения деятельности;</w:t>
      </w:r>
    </w:p>
    <w:p w:rsidR="00682CE8" w:rsidRPr="00682CE8" w:rsidRDefault="00682CE8" w:rsidP="00682CE8">
      <w:pPr>
        <w:numPr>
          <w:ilvl w:val="0"/>
          <w:numId w:val="10"/>
        </w:numPr>
        <w:jc w:val="both"/>
      </w:pPr>
      <w:r w:rsidRPr="00682CE8">
        <w:t>финансовые условия сделки.</w:t>
      </w:r>
    </w:p>
    <w:p w:rsidR="00682CE8" w:rsidRPr="00682CE8" w:rsidRDefault="00682CE8" w:rsidP="00682CE8">
      <w:pPr>
        <w:ind w:left="1224"/>
        <w:jc w:val="both"/>
      </w:pPr>
    </w:p>
    <w:p w:rsidR="00682CE8" w:rsidRPr="00682CE8" w:rsidRDefault="00682CE8" w:rsidP="00682CE8">
      <w:pPr>
        <w:ind w:left="1224"/>
        <w:jc w:val="both"/>
      </w:pPr>
      <w:r w:rsidRPr="00682CE8">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rsidR="00682CE8" w:rsidRPr="00682CE8" w:rsidRDefault="00682CE8" w:rsidP="00682CE8">
      <w:pPr>
        <w:numPr>
          <w:ilvl w:val="2"/>
          <w:numId w:val="8"/>
        </w:numPr>
        <w:jc w:val="both"/>
      </w:pPr>
      <w:r w:rsidRPr="00682CE8">
        <w:t>Финансовые условия сделки оцениваются в разрезе следующих основных вариантов:</w:t>
      </w:r>
    </w:p>
    <w:p w:rsidR="00682CE8" w:rsidRPr="00682CE8" w:rsidRDefault="00682CE8" w:rsidP="00682CE8">
      <w:pPr>
        <w:numPr>
          <w:ilvl w:val="0"/>
          <w:numId w:val="11"/>
        </w:numPr>
        <w:jc w:val="both"/>
      </w:pPr>
      <w:r w:rsidRPr="00682CE8">
        <w:t>без предоплаты;</w:t>
      </w:r>
    </w:p>
    <w:p w:rsidR="00682CE8" w:rsidRPr="00682CE8" w:rsidRDefault="00682CE8" w:rsidP="00682CE8">
      <w:pPr>
        <w:numPr>
          <w:ilvl w:val="0"/>
          <w:numId w:val="11"/>
        </w:numPr>
        <w:jc w:val="both"/>
      </w:pPr>
      <w:r w:rsidRPr="00682CE8">
        <w:t>полное покрытие аванса банковской гарантией;</w:t>
      </w:r>
    </w:p>
    <w:p w:rsidR="00682CE8" w:rsidRPr="00682CE8" w:rsidRDefault="00682CE8" w:rsidP="00682CE8">
      <w:pPr>
        <w:numPr>
          <w:ilvl w:val="0"/>
          <w:numId w:val="11"/>
        </w:numPr>
        <w:jc w:val="both"/>
      </w:pPr>
      <w:r w:rsidRPr="00682CE8">
        <w:t>аванс без покрытия банковской гарантией.</w:t>
      </w:r>
    </w:p>
    <w:p w:rsidR="00682CE8" w:rsidRPr="00682CE8" w:rsidRDefault="00682CE8" w:rsidP="00682CE8">
      <w:pPr>
        <w:numPr>
          <w:ilvl w:val="3"/>
          <w:numId w:val="8"/>
        </w:numPr>
        <w:jc w:val="both"/>
      </w:pPr>
      <w:r w:rsidRPr="00682CE8">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rsidR="00682CE8" w:rsidRPr="00682CE8" w:rsidRDefault="00682CE8" w:rsidP="00682CE8">
      <w:pPr>
        <w:numPr>
          <w:ilvl w:val="3"/>
          <w:numId w:val="8"/>
        </w:numPr>
        <w:jc w:val="both"/>
      </w:pPr>
      <w:r w:rsidRPr="00682CE8">
        <w:t>Ко второму варианту «полное покрытие аванса банковской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банковской гарантией.</w:t>
      </w:r>
    </w:p>
    <w:p w:rsidR="00682CE8" w:rsidRPr="00682CE8" w:rsidRDefault="00682CE8" w:rsidP="00682CE8">
      <w:pPr>
        <w:numPr>
          <w:ilvl w:val="3"/>
          <w:numId w:val="8"/>
        </w:numPr>
        <w:jc w:val="both"/>
      </w:pPr>
      <w:r w:rsidRPr="00682CE8">
        <w:lastRenderedPageBreak/>
        <w:t>Случай, когда какой-либо авансовый платеж или его часть в пользу участника закупочной процедуры планируется осуществить без покрытия банковской гарантией, такой вариант должен рассматриваться как «аванс без покрытия банковской гарантией».</w:t>
      </w:r>
    </w:p>
    <w:p w:rsidR="00682CE8" w:rsidRPr="00682CE8" w:rsidRDefault="00682CE8" w:rsidP="00682CE8">
      <w:pPr>
        <w:numPr>
          <w:ilvl w:val="1"/>
          <w:numId w:val="8"/>
        </w:numPr>
        <w:jc w:val="both"/>
      </w:pPr>
      <w:r w:rsidRPr="00682CE8">
        <w:t>Срок существования компаний-участниц закупочной процедуры определяется в шаблоне «</w:t>
      </w:r>
      <w:proofErr w:type="spellStart"/>
      <w:r w:rsidRPr="00682CE8">
        <w:t>Финэкспертиза</w:t>
      </w:r>
      <w:proofErr w:type="spellEnd"/>
      <w:r w:rsidRPr="00682CE8">
        <w:t>.</w:t>
      </w:r>
      <w:proofErr w:type="spellStart"/>
      <w:r w:rsidRPr="00682CE8">
        <w:rPr>
          <w:lang w:val="en-US"/>
        </w:rPr>
        <w:t>xls</w:t>
      </w:r>
      <w:proofErr w:type="spellEnd"/>
      <w:r w:rsidRPr="00682CE8">
        <w:t>» автоматически на основании заполненных граф с датой регистрации и датой подготовки заключения.</w:t>
      </w:r>
    </w:p>
    <w:p w:rsidR="00682CE8" w:rsidRPr="00682CE8" w:rsidRDefault="00682CE8" w:rsidP="00682CE8">
      <w:pPr>
        <w:ind w:left="792"/>
        <w:jc w:val="both"/>
      </w:pPr>
      <w:r w:rsidRPr="00682CE8">
        <w:t>В шаблоне «</w:t>
      </w:r>
      <w:proofErr w:type="spellStart"/>
      <w:r w:rsidRPr="00682CE8">
        <w:t>Финэкспертиза</w:t>
      </w:r>
      <w:proofErr w:type="spellEnd"/>
      <w:r w:rsidRPr="00682CE8">
        <w:t>.</w:t>
      </w:r>
      <w:proofErr w:type="spellStart"/>
      <w:r w:rsidRPr="00682CE8">
        <w:rPr>
          <w:lang w:val="en-US"/>
        </w:rPr>
        <w:t>xls</w:t>
      </w:r>
      <w:proofErr w:type="spellEnd"/>
      <w:r w:rsidRPr="00682CE8">
        <w:t>» также реализовано сопоставление суммы планируемого договора и величины аванса, указанной в оферте участника закупочной процедуры, с его активами и годовой выручкой.</w:t>
      </w:r>
    </w:p>
    <w:p w:rsidR="00682CE8" w:rsidRPr="00682CE8" w:rsidRDefault="00682CE8" w:rsidP="00682CE8">
      <w:pPr>
        <w:ind w:left="792"/>
        <w:jc w:val="both"/>
      </w:pPr>
      <w:r w:rsidRPr="00682CE8">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rsidR="00682CE8" w:rsidRPr="00682CE8" w:rsidRDefault="00682CE8" w:rsidP="00682CE8">
      <w:pPr>
        <w:numPr>
          <w:ilvl w:val="1"/>
          <w:numId w:val="8"/>
        </w:numPr>
        <w:jc w:val="both"/>
      </w:pPr>
      <w:r w:rsidRPr="00682CE8">
        <w:t>Когда в шаблон «</w:t>
      </w:r>
      <w:proofErr w:type="spellStart"/>
      <w:r w:rsidRPr="00682CE8">
        <w:t>Финэкспертиза</w:t>
      </w:r>
      <w:proofErr w:type="spellEnd"/>
      <w:r w:rsidRPr="00682CE8">
        <w:t>.</w:t>
      </w:r>
      <w:proofErr w:type="spellStart"/>
      <w:r w:rsidRPr="00682CE8">
        <w:rPr>
          <w:lang w:val="en-US"/>
        </w:rPr>
        <w:t>xls</w:t>
      </w:r>
      <w:proofErr w:type="spellEnd"/>
      <w:r w:rsidRPr="00682CE8">
        <w:t>» внесены:</w:t>
      </w:r>
    </w:p>
    <w:p w:rsidR="00682CE8" w:rsidRPr="00682CE8" w:rsidRDefault="00682CE8" w:rsidP="00682CE8">
      <w:pPr>
        <w:numPr>
          <w:ilvl w:val="0"/>
          <w:numId w:val="12"/>
        </w:numPr>
        <w:jc w:val="both"/>
      </w:pPr>
      <w:r w:rsidRPr="00682CE8">
        <w:t>регистрационные данные участника закупочной процедуры (название компании, ИНН, регион; дата регистрации, основной вид деятельности),</w:t>
      </w:r>
    </w:p>
    <w:p w:rsidR="00682CE8" w:rsidRPr="00682CE8" w:rsidRDefault="00682CE8" w:rsidP="00682CE8">
      <w:pPr>
        <w:numPr>
          <w:ilvl w:val="0"/>
          <w:numId w:val="12"/>
        </w:numPr>
        <w:jc w:val="both"/>
      </w:pPr>
      <w:r w:rsidRPr="00682CE8">
        <w:t>данные бухгалтерской отчетности,</w:t>
      </w:r>
    </w:p>
    <w:p w:rsidR="00682CE8" w:rsidRPr="00682CE8" w:rsidRDefault="00682CE8" w:rsidP="00682CE8">
      <w:pPr>
        <w:numPr>
          <w:ilvl w:val="0"/>
          <w:numId w:val="12"/>
        </w:numPr>
        <w:jc w:val="both"/>
      </w:pPr>
      <w:r w:rsidRPr="00682CE8">
        <w:t>проставлены галочки в соответствующих полях формы для условий оплаты,</w:t>
      </w:r>
    </w:p>
    <w:p w:rsidR="00682CE8" w:rsidRPr="00682CE8" w:rsidRDefault="00682CE8" w:rsidP="00682CE8">
      <w:pPr>
        <w:numPr>
          <w:ilvl w:val="0"/>
          <w:numId w:val="12"/>
        </w:numPr>
        <w:jc w:val="both"/>
      </w:pPr>
      <w:r w:rsidRPr="00682CE8">
        <w:t>указана сумма планируемого договора,</w:t>
      </w:r>
    </w:p>
    <w:p w:rsidR="00682CE8" w:rsidRPr="00682CE8" w:rsidRDefault="00682CE8" w:rsidP="00682CE8">
      <w:pPr>
        <w:ind w:left="792"/>
        <w:jc w:val="both"/>
      </w:pPr>
      <w:r w:rsidRPr="00682CE8">
        <w:t xml:space="preserve">осуществляется автоматическая оценка участников закупочной процедуры на основе </w:t>
      </w:r>
      <w:proofErr w:type="spellStart"/>
      <w:r w:rsidRPr="00682CE8">
        <w:t>балльно</w:t>
      </w:r>
      <w:proofErr w:type="spellEnd"/>
      <w:r w:rsidRPr="00682CE8">
        <w:t>-весового подхода, параметры которого (баллы и веса) определены Методикой.</w:t>
      </w:r>
    </w:p>
    <w:p w:rsidR="00682CE8" w:rsidRPr="00682CE8" w:rsidRDefault="00682CE8" w:rsidP="00682CE8">
      <w:pPr>
        <w:numPr>
          <w:ilvl w:val="0"/>
          <w:numId w:val="8"/>
        </w:numPr>
        <w:jc w:val="both"/>
        <w:rPr>
          <w:b/>
        </w:rPr>
      </w:pPr>
      <w:r w:rsidRPr="00682CE8">
        <w:rPr>
          <w:b/>
        </w:rPr>
        <w:t>Формирование окончательного решения</w:t>
      </w:r>
    </w:p>
    <w:p w:rsidR="00682CE8" w:rsidRPr="00682CE8" w:rsidRDefault="00682CE8" w:rsidP="00682CE8">
      <w:pPr>
        <w:numPr>
          <w:ilvl w:val="1"/>
          <w:numId w:val="8"/>
        </w:numPr>
        <w:jc w:val="both"/>
      </w:pPr>
      <w:r w:rsidRPr="00682CE8">
        <w:t xml:space="preserve">На отборочной стадии Эксперт, используя результаты совместного применения </w:t>
      </w:r>
      <w:proofErr w:type="spellStart"/>
      <w:r w:rsidRPr="00682CE8">
        <w:t>балльно</w:t>
      </w:r>
      <w:proofErr w:type="spellEnd"/>
      <w:r w:rsidRPr="00682CE8">
        <w:t xml:space="preserve">-весового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закупочной документации и настоящей Методики с точки зрения финансово-экономических критериев. В случае если на основании применения </w:t>
      </w:r>
      <w:proofErr w:type="spellStart"/>
      <w:r w:rsidRPr="00682CE8">
        <w:t>балльно</w:t>
      </w:r>
      <w:proofErr w:type="spellEnd"/>
      <w:r w:rsidRPr="00682CE8">
        <w:t>-весового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 при этом не должна превышать 1 по пятибалльной шкале (минимально допустимый уровень).</w:t>
      </w:r>
    </w:p>
    <w:p w:rsidR="00682CE8" w:rsidRPr="00682CE8" w:rsidRDefault="00682CE8" w:rsidP="00682CE8">
      <w:pPr>
        <w:numPr>
          <w:ilvl w:val="1"/>
          <w:numId w:val="8"/>
        </w:numPr>
        <w:jc w:val="both"/>
      </w:pPr>
      <w:r w:rsidRPr="00682CE8">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w:t>
      </w:r>
      <w:proofErr w:type="spellStart"/>
      <w:r w:rsidRPr="00682CE8">
        <w:t>балльно</w:t>
      </w:r>
      <w:proofErr w:type="spellEnd"/>
      <w:r w:rsidRPr="00682CE8">
        <w:t>-весового подхода. Все компании, набравшие более 0,45 баллов по шкале от 0 до 1 (по которым принято положительное решение на отборочной стадии) ранжируются с присвоением оценки по пятибалльной шкале от 0 до 5. Порядок перевода шкалы от 0 до 1 в шкалу от 0 до 5 установлен Методикой.</w:t>
      </w:r>
    </w:p>
    <w:p w:rsidR="00682CE8" w:rsidRPr="00682CE8" w:rsidRDefault="00682CE8" w:rsidP="00682CE8">
      <w:pPr>
        <w:numPr>
          <w:ilvl w:val="1"/>
          <w:numId w:val="8"/>
        </w:numPr>
        <w:jc w:val="both"/>
      </w:pPr>
      <w:r w:rsidRPr="00682CE8">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rsidR="00682CE8" w:rsidRPr="00682CE8" w:rsidRDefault="00682CE8" w:rsidP="00682CE8">
      <w:pPr>
        <w:numPr>
          <w:ilvl w:val="1"/>
          <w:numId w:val="8"/>
        </w:numPr>
        <w:jc w:val="both"/>
      </w:pPr>
      <w:r w:rsidRPr="00682CE8">
        <w:t xml:space="preserve">С целью расширения доступа субъектов малого и среднего предпринимательства к участию в конкурентных закупочных процедурах, организованных Обществом / </w:t>
      </w:r>
      <w:r w:rsidRPr="00682CE8">
        <w:lastRenderedPageBreak/>
        <w:t>ДЗО / ВЗО,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компаний 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конкурентные закупочные процедуры по перечисленным ниже статьям расходов Общества / ДЗО / ВЗО и плановая стоимость закупки по которым не превышает 20 млн. рублей без НДС:</w:t>
      </w:r>
    </w:p>
    <w:p w:rsidR="00682CE8" w:rsidRPr="00682CE8" w:rsidRDefault="00682CE8" w:rsidP="00682CE8">
      <w:pPr>
        <w:numPr>
          <w:ilvl w:val="3"/>
          <w:numId w:val="19"/>
        </w:numPr>
        <w:ind w:left="1985"/>
        <w:jc w:val="both"/>
      </w:pPr>
      <w:r w:rsidRPr="00682CE8">
        <w:t>административно-хозяйственные расходы (поставки и услуги);</w:t>
      </w:r>
    </w:p>
    <w:p w:rsidR="00682CE8" w:rsidRPr="00682CE8" w:rsidRDefault="00682CE8" w:rsidP="00682CE8">
      <w:pPr>
        <w:numPr>
          <w:ilvl w:val="3"/>
          <w:numId w:val="19"/>
        </w:numPr>
        <w:ind w:left="1985"/>
        <w:jc w:val="both"/>
      </w:pPr>
      <w:r w:rsidRPr="00682CE8">
        <w:t>охрана (услуги);</w:t>
      </w:r>
    </w:p>
    <w:p w:rsidR="00682CE8" w:rsidRPr="00682CE8" w:rsidRDefault="00682CE8" w:rsidP="00682CE8">
      <w:pPr>
        <w:numPr>
          <w:ilvl w:val="3"/>
          <w:numId w:val="19"/>
        </w:numPr>
        <w:ind w:left="1985"/>
        <w:jc w:val="both"/>
      </w:pPr>
      <w:r w:rsidRPr="00682CE8">
        <w:t>консультационные и информационные расходы (поставки и услуги);</w:t>
      </w:r>
    </w:p>
    <w:p w:rsidR="00682CE8" w:rsidRPr="00682CE8" w:rsidRDefault="00682CE8" w:rsidP="00682CE8">
      <w:pPr>
        <w:numPr>
          <w:ilvl w:val="3"/>
          <w:numId w:val="19"/>
        </w:numPr>
        <w:ind w:left="1985"/>
        <w:jc w:val="both"/>
      </w:pPr>
      <w:r w:rsidRPr="00682CE8">
        <w:t>аудит и оценка (поставки и услуги);</w:t>
      </w:r>
    </w:p>
    <w:p w:rsidR="00682CE8" w:rsidRPr="00682CE8" w:rsidRDefault="00682CE8" w:rsidP="00682CE8">
      <w:pPr>
        <w:numPr>
          <w:ilvl w:val="3"/>
          <w:numId w:val="19"/>
        </w:numPr>
        <w:ind w:left="1985"/>
        <w:jc w:val="both"/>
      </w:pPr>
      <w:r w:rsidRPr="00682CE8">
        <w:t>юридические услуги (поставки и услуги);</w:t>
      </w:r>
    </w:p>
    <w:p w:rsidR="00682CE8" w:rsidRPr="00682CE8" w:rsidRDefault="00682CE8" w:rsidP="00682CE8">
      <w:pPr>
        <w:numPr>
          <w:ilvl w:val="3"/>
          <w:numId w:val="19"/>
        </w:numPr>
        <w:ind w:left="1985"/>
        <w:jc w:val="both"/>
      </w:pPr>
      <w:r w:rsidRPr="00682CE8">
        <w:t>корпоративное управление (поставки и услуги);</w:t>
      </w:r>
    </w:p>
    <w:p w:rsidR="00682CE8" w:rsidRPr="00682CE8" w:rsidRDefault="00682CE8" w:rsidP="00682CE8">
      <w:pPr>
        <w:numPr>
          <w:ilvl w:val="3"/>
          <w:numId w:val="19"/>
        </w:numPr>
        <w:ind w:left="1985"/>
        <w:jc w:val="both"/>
      </w:pPr>
      <w:r w:rsidRPr="00682CE8">
        <w:t>расходы на персонал (поставки и услуги);</w:t>
      </w:r>
    </w:p>
    <w:p w:rsidR="00682CE8" w:rsidRPr="00682CE8" w:rsidRDefault="00682CE8" w:rsidP="00682CE8">
      <w:pPr>
        <w:numPr>
          <w:ilvl w:val="3"/>
          <w:numId w:val="19"/>
        </w:numPr>
        <w:ind w:left="1985"/>
        <w:jc w:val="both"/>
      </w:pPr>
      <w:r w:rsidRPr="00682CE8">
        <w:t>реклама и маркетинг (поставки и услуги).</w:t>
      </w:r>
    </w:p>
    <w:p w:rsidR="00682CE8" w:rsidRPr="00682CE8" w:rsidRDefault="00682CE8" w:rsidP="00682CE8">
      <w:pPr>
        <w:numPr>
          <w:ilvl w:val="1"/>
          <w:numId w:val="8"/>
        </w:numPr>
        <w:jc w:val="both"/>
      </w:pPr>
      <w:r w:rsidRPr="00682CE8">
        <w:t>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закупочной документации, экспертное заключение с указанием наиболее значимых факторов, повлиявших на итоговую оценку.</w:t>
      </w:r>
    </w:p>
    <w:p w:rsidR="00682CE8" w:rsidRPr="00682CE8" w:rsidRDefault="00682CE8" w:rsidP="00682CE8">
      <w:pPr>
        <w:numPr>
          <w:ilvl w:val="1"/>
          <w:numId w:val="8"/>
        </w:numPr>
        <w:jc w:val="both"/>
      </w:pPr>
      <w:r w:rsidRPr="00682CE8">
        <w:t xml:space="preserve">В случае </w:t>
      </w:r>
      <w:r w:rsidRPr="00682CE8">
        <w:rPr>
          <w:b/>
        </w:rPr>
        <w:t>если решение, принятое Экспертом в рамках финансово-экономической экспертизы, отличается от принятого автоматически</w:t>
      </w:r>
      <w:r w:rsidRPr="00682CE8">
        <w:t xml:space="preserve"> в рамках </w:t>
      </w:r>
      <w:proofErr w:type="spellStart"/>
      <w:r w:rsidRPr="00682CE8">
        <w:t>балльно</w:t>
      </w:r>
      <w:proofErr w:type="spellEnd"/>
      <w:r w:rsidRPr="00682CE8">
        <w:t xml:space="preserve">-весового подхода, определенного настоящей Методикой, то </w:t>
      </w:r>
      <w:r w:rsidRPr="00682CE8">
        <w:rPr>
          <w:b/>
        </w:rPr>
        <w:t>формирование Экспертом письменного заключения</w:t>
      </w:r>
      <w:r w:rsidRPr="00682CE8">
        <w:t xml:space="preserve"> с указанием факторов, повлиявших на итоговую оценку, </w:t>
      </w:r>
      <w:r w:rsidRPr="00682CE8">
        <w:rPr>
          <w:b/>
        </w:rPr>
        <w:t>является обязательным</w:t>
      </w:r>
      <w:r w:rsidRPr="00682CE8">
        <w:t>.</w:t>
      </w:r>
    </w:p>
    <w:p w:rsidR="00682CE8" w:rsidRPr="00682CE8" w:rsidRDefault="00682CE8" w:rsidP="00682CE8">
      <w:pPr>
        <w:numPr>
          <w:ilvl w:val="1"/>
          <w:numId w:val="8"/>
        </w:numPr>
        <w:jc w:val="both"/>
      </w:pPr>
      <w:r w:rsidRPr="00682CE8">
        <w:t xml:space="preserve">В случае если компания, являющаяся участником конкурентной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w:t>
      </w:r>
      <w:proofErr w:type="spellStart"/>
      <w:r w:rsidRPr="00682CE8">
        <w:t>Fitch</w:t>
      </w:r>
      <w:proofErr w:type="spellEnd"/>
      <w:r w:rsidRPr="00682CE8">
        <w:t xml:space="preserve">/S&amp;P или Ba3 по шкале </w:t>
      </w:r>
      <w:proofErr w:type="spellStart"/>
      <w:r w:rsidRPr="00682CE8">
        <w:t>Moody’s</w:t>
      </w:r>
      <w:proofErr w:type="spellEnd"/>
      <w:r w:rsidRPr="00682CE8">
        <w:t xml:space="preserve">) допускается </w:t>
      </w:r>
      <w:proofErr w:type="spellStart"/>
      <w:r w:rsidRPr="00682CE8">
        <w:t>экспертно</w:t>
      </w:r>
      <w:proofErr w:type="spellEnd"/>
      <w:r w:rsidRPr="00682CE8">
        <w:t xml:space="preserve"> повышать</w:t>
      </w:r>
      <w:r w:rsidRPr="00682CE8">
        <w:rPr>
          <w:b/>
        </w:rPr>
        <w:t xml:space="preserve"> итоговую оценку участника закупочной процедуры более чем на 1 балл</w:t>
      </w:r>
      <w:r w:rsidRPr="00682CE8">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финансовой отчетности по МСФО за последний завершенный финансовый год;</w:t>
      </w:r>
    </w:p>
    <w:p w:rsidR="00682CE8" w:rsidRPr="00682CE8" w:rsidRDefault="00682CE8" w:rsidP="00682CE8">
      <w:pPr>
        <w:numPr>
          <w:ilvl w:val="1"/>
          <w:numId w:val="8"/>
        </w:numPr>
        <w:jc w:val="both"/>
      </w:pPr>
      <w:r w:rsidRPr="00682CE8">
        <w:t>Когда в качестве участника закупочной процедуры выступает консорциум, состоящий из двух или более различных компаний,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или основного участника и его субподрядчиков, взвешенная по планируемой доле их участия в соответствии с предоставленным планом распределения работ;</w:t>
      </w:r>
    </w:p>
    <w:p w:rsidR="00682CE8" w:rsidRPr="00682CE8" w:rsidRDefault="00682CE8" w:rsidP="00682CE8">
      <w:pPr>
        <w:numPr>
          <w:ilvl w:val="1"/>
          <w:numId w:val="8"/>
        </w:numPr>
        <w:jc w:val="both"/>
      </w:pPr>
      <w:r w:rsidRPr="00682CE8">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компаний (примерами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w:t>
      </w:r>
      <w:r w:rsidRPr="00682CE8">
        <w:lastRenderedPageBreak/>
        <w:t>организациями и др.) эксперт вправе изменить набор и степень значимости финансово-экономических критериев с отражением внесенных изменений в экспертном заключении.</w:t>
      </w:r>
    </w:p>
    <w:p w:rsidR="00682CE8" w:rsidRPr="00682CE8" w:rsidRDefault="00682CE8" w:rsidP="00682CE8">
      <w:pPr>
        <w:jc w:val="both"/>
      </w:pPr>
    </w:p>
    <w:p w:rsidR="00682CE8" w:rsidRPr="00682CE8" w:rsidRDefault="00682CE8" w:rsidP="00682CE8">
      <w:pPr>
        <w:jc w:val="right"/>
      </w:pPr>
      <w:r w:rsidRPr="00682CE8">
        <w:t>Таблица Алгоритм принятия решения</w:t>
      </w:r>
    </w:p>
    <w:tbl>
      <w:tblPr>
        <w:tblW w:w="95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6224"/>
      </w:tblGrid>
      <w:tr w:rsidR="00682CE8" w:rsidRPr="00682CE8" w:rsidTr="002522AC">
        <w:trPr>
          <w:trHeight w:val="503"/>
        </w:trPr>
        <w:tc>
          <w:tcPr>
            <w:tcW w:w="3276" w:type="dxa"/>
            <w:shd w:val="clear" w:color="auto" w:fill="auto"/>
            <w:vAlign w:val="center"/>
          </w:tcPr>
          <w:p w:rsidR="00682CE8" w:rsidRPr="00682CE8" w:rsidRDefault="00682CE8" w:rsidP="002522AC">
            <w:pPr>
              <w:jc w:val="center"/>
              <w:rPr>
                <w:b/>
                <w:color w:val="000000"/>
              </w:rPr>
            </w:pPr>
            <w:r w:rsidRPr="00682CE8">
              <w:rPr>
                <w:b/>
                <w:color w:val="000000"/>
                <w:sz w:val="22"/>
                <w:szCs w:val="22"/>
              </w:rPr>
              <w:t>Варианты автоматического решения</w:t>
            </w:r>
          </w:p>
        </w:tc>
        <w:tc>
          <w:tcPr>
            <w:tcW w:w="6224" w:type="dxa"/>
            <w:shd w:val="clear" w:color="auto" w:fill="auto"/>
            <w:vAlign w:val="center"/>
          </w:tcPr>
          <w:p w:rsidR="00682CE8" w:rsidRPr="00682CE8" w:rsidRDefault="00682CE8" w:rsidP="002522AC">
            <w:pPr>
              <w:jc w:val="center"/>
              <w:rPr>
                <w:b/>
                <w:color w:val="000000"/>
              </w:rPr>
            </w:pPr>
            <w:r w:rsidRPr="00682CE8">
              <w:rPr>
                <w:b/>
                <w:color w:val="000000"/>
                <w:sz w:val="22"/>
                <w:szCs w:val="22"/>
              </w:rPr>
              <w:t>Описание и действия Эксперта</w:t>
            </w:r>
          </w:p>
        </w:tc>
      </w:tr>
      <w:tr w:rsidR="00682CE8" w:rsidRPr="00682CE8" w:rsidTr="002522AC">
        <w:trPr>
          <w:trHeight w:val="445"/>
        </w:trPr>
        <w:tc>
          <w:tcPr>
            <w:tcW w:w="3276" w:type="dxa"/>
            <w:shd w:val="clear" w:color="auto" w:fill="auto"/>
            <w:vAlign w:val="center"/>
          </w:tcPr>
          <w:p w:rsidR="00682CE8" w:rsidRPr="00682CE8" w:rsidRDefault="00682CE8" w:rsidP="002522AC">
            <w:pPr>
              <w:rPr>
                <w:i/>
                <w:color w:val="000000"/>
              </w:rPr>
            </w:pPr>
            <w:r w:rsidRPr="00682CE8">
              <w:rPr>
                <w:i/>
                <w:color w:val="000000"/>
                <w:sz w:val="22"/>
                <w:szCs w:val="22"/>
              </w:rPr>
              <w:t>Занести данные отчетности</w:t>
            </w:r>
          </w:p>
        </w:tc>
        <w:tc>
          <w:tcPr>
            <w:tcW w:w="6224" w:type="dxa"/>
            <w:shd w:val="clear" w:color="auto" w:fill="auto"/>
          </w:tcPr>
          <w:p w:rsidR="00682CE8" w:rsidRPr="00682CE8" w:rsidRDefault="00682CE8" w:rsidP="002522AC">
            <w:pPr>
              <w:jc w:val="both"/>
              <w:rPr>
                <w:color w:val="000000"/>
              </w:rPr>
            </w:pPr>
            <w:r w:rsidRPr="00682CE8">
              <w:rPr>
                <w:color w:val="000000"/>
                <w:sz w:val="22"/>
                <w:szCs w:val="22"/>
              </w:rPr>
              <w:t>Надпись возникает, когда не занесены данные бухгалтерской отчетности</w:t>
            </w:r>
          </w:p>
        </w:tc>
      </w:tr>
      <w:tr w:rsidR="00682CE8" w:rsidRPr="00682CE8" w:rsidTr="002522AC">
        <w:trPr>
          <w:trHeight w:val="885"/>
        </w:trPr>
        <w:tc>
          <w:tcPr>
            <w:tcW w:w="3276" w:type="dxa"/>
            <w:shd w:val="clear" w:color="auto" w:fill="auto"/>
            <w:vAlign w:val="center"/>
          </w:tcPr>
          <w:p w:rsidR="00682CE8" w:rsidRPr="00682CE8" w:rsidRDefault="00682CE8" w:rsidP="002522AC">
            <w:pPr>
              <w:rPr>
                <w:i/>
                <w:color w:val="000000"/>
              </w:rPr>
            </w:pPr>
            <w:r w:rsidRPr="00682CE8">
              <w:rPr>
                <w:i/>
                <w:color w:val="000000"/>
                <w:sz w:val="22"/>
                <w:szCs w:val="22"/>
              </w:rPr>
              <w:t>Автоматическое принятие решения</w:t>
            </w:r>
          </w:p>
        </w:tc>
        <w:tc>
          <w:tcPr>
            <w:tcW w:w="6224" w:type="dxa"/>
            <w:shd w:val="clear" w:color="auto" w:fill="auto"/>
          </w:tcPr>
          <w:p w:rsidR="00682CE8" w:rsidRPr="00682CE8" w:rsidRDefault="00682CE8" w:rsidP="002522AC">
            <w:pPr>
              <w:jc w:val="both"/>
              <w:rPr>
                <w:color w:val="000000"/>
              </w:rPr>
            </w:pPr>
            <w:r w:rsidRPr="00682CE8">
              <w:rPr>
                <w:color w:val="000000"/>
                <w:sz w:val="22"/>
                <w:szCs w:val="22"/>
              </w:rPr>
              <w:t xml:space="preserve">Надпись возникает, когда данные бухгалтерской отчетности занесены в соответствующие ячейки шаблона (файл </w:t>
            </w:r>
            <w:proofErr w:type="spellStart"/>
            <w:r w:rsidRPr="00682CE8">
              <w:rPr>
                <w:color w:val="000000"/>
                <w:sz w:val="22"/>
                <w:szCs w:val="22"/>
              </w:rPr>
              <w:t>Excel</w:t>
            </w:r>
            <w:proofErr w:type="spellEnd"/>
            <w:r w:rsidRPr="00682CE8">
              <w:rPr>
                <w:color w:val="000000"/>
                <w:sz w:val="22"/>
                <w:szCs w:val="22"/>
              </w:rPr>
              <w:t>), однако остальные обязательные для заполнения ячейки пусты (отсутствуют регистрационные данные или не указана сумма планируемого договора).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682CE8" w:rsidRPr="00682CE8" w:rsidTr="002522AC">
        <w:trPr>
          <w:trHeight w:val="870"/>
        </w:trPr>
        <w:tc>
          <w:tcPr>
            <w:tcW w:w="3276" w:type="dxa"/>
            <w:shd w:val="clear" w:color="000000" w:fill="FFE5E5"/>
            <w:vAlign w:val="center"/>
          </w:tcPr>
          <w:p w:rsidR="00682CE8" w:rsidRPr="00682CE8" w:rsidRDefault="00682CE8" w:rsidP="002522AC">
            <w:pPr>
              <w:rPr>
                <w:i/>
                <w:color w:val="000000"/>
              </w:rPr>
            </w:pPr>
            <w:r w:rsidRPr="00682CE8">
              <w:rPr>
                <w:i/>
                <w:color w:val="000000"/>
                <w:sz w:val="22"/>
                <w:szCs w:val="22"/>
              </w:rPr>
              <w:t>Не соответствует (0)</w:t>
            </w:r>
          </w:p>
        </w:tc>
        <w:tc>
          <w:tcPr>
            <w:tcW w:w="6224" w:type="dxa"/>
            <w:shd w:val="clear" w:color="000000" w:fill="FFE5E5"/>
          </w:tcPr>
          <w:p w:rsidR="00682CE8" w:rsidRPr="00682CE8" w:rsidRDefault="00682CE8" w:rsidP="002522AC">
            <w:pPr>
              <w:jc w:val="both"/>
              <w:rPr>
                <w:color w:val="000000"/>
              </w:rPr>
            </w:pPr>
            <w:r w:rsidRPr="00682CE8">
              <w:rPr>
                <w:color w:val="000000"/>
                <w:sz w:val="22"/>
                <w:szCs w:val="22"/>
              </w:rPr>
              <w:t xml:space="preserve">Такое автоматическое решение возникает в ситуации, когда компания-участница закупочной процедуры, будучи оценена согласно </w:t>
            </w:r>
            <w:proofErr w:type="spellStart"/>
            <w:r w:rsidRPr="00682CE8">
              <w:rPr>
                <w:color w:val="000000"/>
                <w:sz w:val="22"/>
                <w:szCs w:val="22"/>
              </w:rPr>
              <w:t>балльно</w:t>
            </w:r>
            <w:proofErr w:type="spellEnd"/>
            <w:r w:rsidRPr="00682CE8">
              <w:rPr>
                <w:color w:val="000000"/>
                <w:sz w:val="22"/>
                <w:szCs w:val="22"/>
              </w:rPr>
              <w:t>-весового подхода, набирает менее 0,45 баллов по шкале от 0 до 1.</w:t>
            </w:r>
          </w:p>
          <w:p w:rsidR="00682CE8" w:rsidRPr="00682CE8" w:rsidRDefault="00682CE8" w:rsidP="002522AC">
            <w:pPr>
              <w:jc w:val="both"/>
              <w:rPr>
                <w:i/>
                <w:color w:val="000000"/>
              </w:rPr>
            </w:pPr>
            <w:r w:rsidRPr="00682CE8">
              <w:rPr>
                <w:b/>
                <w:i/>
                <w:color w:val="000000"/>
                <w:sz w:val="22"/>
                <w:szCs w:val="22"/>
              </w:rPr>
              <w:t xml:space="preserve">Действия Эксперта: </w:t>
            </w:r>
            <w:r w:rsidRPr="00682CE8">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682CE8" w:rsidRPr="00682CE8" w:rsidTr="002522AC">
        <w:trPr>
          <w:trHeight w:val="850"/>
        </w:trPr>
        <w:tc>
          <w:tcPr>
            <w:tcW w:w="3276" w:type="dxa"/>
            <w:shd w:val="clear" w:color="000000" w:fill="FFE5E5"/>
            <w:vAlign w:val="center"/>
          </w:tcPr>
          <w:p w:rsidR="00682CE8" w:rsidRPr="00682CE8" w:rsidRDefault="00682CE8" w:rsidP="002522AC">
            <w:pPr>
              <w:rPr>
                <w:i/>
                <w:color w:val="000000"/>
              </w:rPr>
            </w:pPr>
            <w:r w:rsidRPr="00682CE8">
              <w:rPr>
                <w:i/>
                <w:color w:val="000000"/>
                <w:sz w:val="22"/>
                <w:szCs w:val="22"/>
              </w:rPr>
              <w:t>Не соответствует (0) имеются стоп-факторы</w:t>
            </w:r>
          </w:p>
        </w:tc>
        <w:tc>
          <w:tcPr>
            <w:tcW w:w="6224" w:type="dxa"/>
            <w:shd w:val="clear" w:color="000000" w:fill="FFE5E5"/>
          </w:tcPr>
          <w:p w:rsidR="00682CE8" w:rsidRPr="00682CE8" w:rsidRDefault="00682CE8" w:rsidP="002522AC">
            <w:pPr>
              <w:jc w:val="both"/>
              <w:rPr>
                <w:color w:val="000000"/>
              </w:rPr>
            </w:pPr>
            <w:r w:rsidRPr="00682CE8">
              <w:rPr>
                <w:color w:val="000000"/>
                <w:sz w:val="22"/>
                <w:szCs w:val="22"/>
              </w:rPr>
              <w:t>Надпись возникает, когда независимо от набранного количества баллов по шкале от 0 до 1 для оцениваемой компании реализуется хотя бы один из стоп-факторов</w:t>
            </w:r>
          </w:p>
          <w:p w:rsidR="00682CE8" w:rsidRPr="00682CE8" w:rsidRDefault="00682CE8" w:rsidP="002522AC">
            <w:pPr>
              <w:jc w:val="both"/>
              <w:rPr>
                <w:color w:val="000000"/>
              </w:rPr>
            </w:pPr>
            <w:r w:rsidRPr="00682CE8">
              <w:rPr>
                <w:b/>
                <w:i/>
                <w:color w:val="000000"/>
                <w:sz w:val="22"/>
                <w:szCs w:val="22"/>
              </w:rPr>
              <w:t xml:space="preserve">Действия Эксперта: </w:t>
            </w:r>
            <w:r w:rsidRPr="00682CE8">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682CE8" w:rsidRPr="00682CE8" w:rsidTr="002522AC">
        <w:trPr>
          <w:trHeight w:val="765"/>
        </w:trPr>
        <w:tc>
          <w:tcPr>
            <w:tcW w:w="3276" w:type="dxa"/>
            <w:shd w:val="clear" w:color="000000" w:fill="F8FFB9"/>
            <w:vAlign w:val="center"/>
          </w:tcPr>
          <w:p w:rsidR="00682CE8" w:rsidRPr="00682CE8" w:rsidRDefault="00682CE8" w:rsidP="002522AC">
            <w:pPr>
              <w:rPr>
                <w:i/>
                <w:color w:val="000000"/>
              </w:rPr>
            </w:pPr>
            <w:r w:rsidRPr="00682CE8">
              <w:rPr>
                <w:i/>
                <w:color w:val="000000"/>
                <w:sz w:val="22"/>
                <w:szCs w:val="22"/>
              </w:rPr>
              <w:t>Необходимо участие эксперта (0)</w:t>
            </w:r>
          </w:p>
          <w:p w:rsidR="00682CE8" w:rsidRPr="00682CE8" w:rsidRDefault="00682CE8" w:rsidP="002522AC">
            <w:pPr>
              <w:rPr>
                <w:i/>
                <w:color w:val="000000"/>
              </w:rPr>
            </w:pPr>
          </w:p>
          <w:p w:rsidR="00682CE8" w:rsidRPr="00682CE8" w:rsidRDefault="00682CE8" w:rsidP="002522AC">
            <w:pPr>
              <w:rPr>
                <w:i/>
                <w:color w:val="000000"/>
              </w:rPr>
            </w:pPr>
            <w:r w:rsidRPr="00682CE8">
              <w:rPr>
                <w:i/>
                <w:color w:val="000000"/>
                <w:sz w:val="22"/>
                <w:szCs w:val="22"/>
              </w:rPr>
              <w:t>Необходимо участие эксперта (0) имеются риск-факторы</w:t>
            </w:r>
          </w:p>
        </w:tc>
        <w:tc>
          <w:tcPr>
            <w:tcW w:w="6224" w:type="dxa"/>
            <w:shd w:val="clear" w:color="000000" w:fill="F8FFB9"/>
          </w:tcPr>
          <w:p w:rsidR="00682CE8" w:rsidRPr="00682CE8" w:rsidRDefault="00682CE8" w:rsidP="002522AC">
            <w:pPr>
              <w:jc w:val="both"/>
              <w:rPr>
                <w:color w:val="000000"/>
              </w:rPr>
            </w:pPr>
            <w:r w:rsidRPr="00682CE8">
              <w:rPr>
                <w:color w:val="000000"/>
                <w:sz w:val="22"/>
                <w:szCs w:val="22"/>
              </w:rPr>
              <w:t>Такое автоматическое решение соответствует ситуации, когда компания-участница закупочной процедуры набирает от 0,45 до 0,5 баллов по шкале от 0 до 1 (пограничная ситуация). При этом имеется не более двух риск-факторов.</w:t>
            </w:r>
          </w:p>
          <w:p w:rsidR="00682CE8" w:rsidRPr="00682CE8" w:rsidRDefault="00682CE8" w:rsidP="002522AC">
            <w:pPr>
              <w:jc w:val="both"/>
              <w:rPr>
                <w:i/>
                <w:color w:val="000000"/>
              </w:rPr>
            </w:pPr>
            <w:r w:rsidRPr="00682CE8">
              <w:rPr>
                <w:b/>
                <w:i/>
                <w:color w:val="000000"/>
                <w:sz w:val="22"/>
                <w:szCs w:val="22"/>
              </w:rPr>
              <w:t xml:space="preserve">Действия Эксперта: </w:t>
            </w:r>
            <w:r w:rsidRPr="00682CE8">
              <w:rPr>
                <w:i/>
                <w:color w:val="000000"/>
                <w:sz w:val="22"/>
                <w:szCs w:val="22"/>
              </w:rPr>
              <w:t>на отборочной стадиив пограничной ситуацииЭксперт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682CE8" w:rsidRPr="00682CE8" w:rsidTr="002522AC">
        <w:trPr>
          <w:trHeight w:val="712"/>
        </w:trPr>
        <w:tc>
          <w:tcPr>
            <w:tcW w:w="3276" w:type="dxa"/>
            <w:shd w:val="clear" w:color="000000" w:fill="F8FFB9"/>
            <w:vAlign w:val="center"/>
          </w:tcPr>
          <w:p w:rsidR="00682CE8" w:rsidRPr="00682CE8" w:rsidRDefault="00682CE8" w:rsidP="002522AC">
            <w:pPr>
              <w:rPr>
                <w:i/>
                <w:color w:val="000000"/>
              </w:rPr>
            </w:pPr>
            <w:r w:rsidRPr="00682CE8">
              <w:rPr>
                <w:i/>
                <w:color w:val="000000"/>
                <w:sz w:val="22"/>
                <w:szCs w:val="22"/>
              </w:rPr>
              <w:t xml:space="preserve">Необходимо участие эксперта (оценка 1-5) более двух риск </w:t>
            </w:r>
            <w:r w:rsidRPr="00682CE8">
              <w:rPr>
                <w:i/>
                <w:color w:val="000000"/>
                <w:sz w:val="22"/>
                <w:szCs w:val="22"/>
              </w:rPr>
              <w:lastRenderedPageBreak/>
              <w:t>факторов</w:t>
            </w:r>
          </w:p>
        </w:tc>
        <w:tc>
          <w:tcPr>
            <w:tcW w:w="6224" w:type="dxa"/>
            <w:shd w:val="clear" w:color="000000" w:fill="F8FFB9"/>
          </w:tcPr>
          <w:p w:rsidR="00682CE8" w:rsidRPr="00682CE8" w:rsidRDefault="00682CE8" w:rsidP="002522AC">
            <w:pPr>
              <w:jc w:val="both"/>
              <w:rPr>
                <w:color w:val="000000"/>
              </w:rPr>
            </w:pPr>
            <w:r w:rsidRPr="00682CE8">
              <w:rPr>
                <w:color w:val="000000"/>
                <w:sz w:val="22"/>
                <w:szCs w:val="22"/>
              </w:rPr>
              <w:lastRenderedPageBreak/>
              <w:t xml:space="preserve">Надпись возникает, когда независимо от набранного количества баллов по шкале от 0 до 1 для оцениваемой </w:t>
            </w:r>
            <w:r w:rsidRPr="00682CE8">
              <w:rPr>
                <w:color w:val="000000"/>
                <w:sz w:val="22"/>
                <w:szCs w:val="22"/>
              </w:rPr>
              <w:lastRenderedPageBreak/>
              <w:t>компании реализуется более двух риск факторов</w:t>
            </w:r>
          </w:p>
          <w:p w:rsidR="00682CE8" w:rsidRPr="00682CE8" w:rsidRDefault="00682CE8" w:rsidP="002522AC">
            <w:pPr>
              <w:jc w:val="both"/>
              <w:rPr>
                <w:color w:val="000000"/>
              </w:rPr>
            </w:pPr>
            <w:r w:rsidRPr="00682CE8">
              <w:rPr>
                <w:b/>
                <w:i/>
                <w:color w:val="000000"/>
                <w:sz w:val="22"/>
                <w:szCs w:val="22"/>
              </w:rPr>
              <w:t xml:space="preserve">Действия Эксперта: </w:t>
            </w:r>
            <w:r w:rsidRPr="00682CE8">
              <w:rPr>
                <w:i/>
                <w:color w:val="000000"/>
                <w:sz w:val="22"/>
                <w:szCs w:val="22"/>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682CE8" w:rsidRPr="00682CE8" w:rsidTr="002522AC">
        <w:trPr>
          <w:trHeight w:val="2440"/>
        </w:trPr>
        <w:tc>
          <w:tcPr>
            <w:tcW w:w="3276" w:type="dxa"/>
            <w:shd w:val="clear" w:color="000000" w:fill="C6FED1"/>
            <w:vAlign w:val="center"/>
          </w:tcPr>
          <w:p w:rsidR="00682CE8" w:rsidRPr="00682CE8" w:rsidRDefault="00682CE8" w:rsidP="002522AC">
            <w:pPr>
              <w:rPr>
                <w:i/>
                <w:color w:val="000000"/>
              </w:rPr>
            </w:pPr>
            <w:r w:rsidRPr="00682CE8">
              <w:rPr>
                <w:i/>
                <w:color w:val="000000"/>
                <w:sz w:val="22"/>
                <w:szCs w:val="22"/>
              </w:rPr>
              <w:lastRenderedPageBreak/>
              <w:t>Соответствует (оценка 1-5) имеются риск-факторы</w:t>
            </w:r>
          </w:p>
          <w:p w:rsidR="00682CE8" w:rsidRPr="00682CE8" w:rsidRDefault="00682CE8" w:rsidP="002522AC">
            <w:pPr>
              <w:rPr>
                <w:i/>
                <w:color w:val="000000"/>
              </w:rPr>
            </w:pPr>
          </w:p>
          <w:p w:rsidR="00682CE8" w:rsidRPr="00682CE8" w:rsidRDefault="00682CE8" w:rsidP="002522AC">
            <w:pPr>
              <w:rPr>
                <w:i/>
                <w:color w:val="000000"/>
              </w:rPr>
            </w:pPr>
            <w:r w:rsidRPr="00682CE8">
              <w:rPr>
                <w:i/>
                <w:color w:val="000000"/>
                <w:sz w:val="22"/>
                <w:szCs w:val="22"/>
              </w:rPr>
              <w:t>Соответствует (оценка 1-5)</w:t>
            </w:r>
          </w:p>
        </w:tc>
        <w:tc>
          <w:tcPr>
            <w:tcW w:w="6224" w:type="dxa"/>
            <w:shd w:val="clear" w:color="000000" w:fill="C6FED1"/>
          </w:tcPr>
          <w:p w:rsidR="00682CE8" w:rsidRPr="00682CE8" w:rsidRDefault="00682CE8" w:rsidP="002522AC">
            <w:pPr>
              <w:jc w:val="both"/>
              <w:rPr>
                <w:color w:val="000000"/>
              </w:rPr>
            </w:pPr>
            <w:r w:rsidRPr="00682CE8">
              <w:rPr>
                <w:color w:val="000000"/>
                <w:sz w:val="22"/>
                <w:szCs w:val="22"/>
              </w:rPr>
              <w:t>Компания-участница закупочной процедуры набирает более 0,5 баллов по шкале от 0 до 1. При этом имеется не более двух риск-факторов. Далее все компании,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rsidR="00682CE8" w:rsidRPr="00682CE8" w:rsidRDefault="00682CE8" w:rsidP="002522AC">
            <w:pPr>
              <w:jc w:val="both"/>
              <w:rPr>
                <w:color w:val="000000"/>
              </w:rPr>
            </w:pPr>
            <w:r w:rsidRPr="00682CE8">
              <w:rPr>
                <w:b/>
                <w:i/>
                <w:color w:val="000000"/>
                <w:sz w:val="22"/>
                <w:szCs w:val="22"/>
              </w:rPr>
              <w:t xml:space="preserve">Действия Эксперта: </w:t>
            </w:r>
            <w:r w:rsidRPr="00682CE8">
              <w:rPr>
                <w:i/>
                <w:color w:val="000000"/>
                <w:sz w:val="22"/>
                <w:szCs w:val="22"/>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rsidR="00682CE8" w:rsidRPr="00682CE8" w:rsidRDefault="00682CE8" w:rsidP="00682CE8">
      <w:pPr>
        <w:jc w:val="both"/>
      </w:pPr>
    </w:p>
    <w:p w:rsidR="00682CE8" w:rsidRPr="00682CE8" w:rsidRDefault="00682CE8" w:rsidP="00682CE8">
      <w:pPr>
        <w:pStyle w:val="af1"/>
      </w:pPr>
      <w:r w:rsidRPr="00682CE8">
        <w:br w:type="page"/>
      </w:r>
    </w:p>
    <w:p w:rsidR="00682CE8" w:rsidRPr="00682CE8" w:rsidRDefault="00682CE8" w:rsidP="00682CE8">
      <w:pPr>
        <w:numPr>
          <w:ilvl w:val="0"/>
          <w:numId w:val="8"/>
        </w:numPr>
        <w:jc w:val="both"/>
        <w:rPr>
          <w:b/>
          <w:bCs/>
        </w:rPr>
      </w:pPr>
      <w:bookmarkStart w:id="111" w:name="_Toc322961189"/>
      <w:bookmarkStart w:id="112" w:name="_Toc326066024"/>
      <w:bookmarkStart w:id="113" w:name="_Toc326066294"/>
      <w:r w:rsidRPr="00682CE8">
        <w:rPr>
          <w:b/>
          <w:bCs/>
        </w:rPr>
        <w:lastRenderedPageBreak/>
        <w:t xml:space="preserve">Проведение финансово-экономической экспертизы участников закупочных процедур, применяющих упрощенную систему налогообложения (УСН) </w:t>
      </w:r>
      <w:bookmarkEnd w:id="111"/>
      <w:r w:rsidRPr="00682CE8">
        <w:rPr>
          <w:b/>
          <w:bCs/>
        </w:rPr>
        <w:t>и индивидуальных предпринимателей</w:t>
      </w:r>
      <w:bookmarkEnd w:id="112"/>
      <w:bookmarkEnd w:id="113"/>
    </w:p>
    <w:p w:rsidR="00682CE8" w:rsidRPr="00682CE8" w:rsidRDefault="00682CE8" w:rsidP="00682CE8">
      <w:pPr>
        <w:numPr>
          <w:ilvl w:val="1"/>
          <w:numId w:val="8"/>
        </w:numPr>
        <w:jc w:val="both"/>
        <w:rPr>
          <w:bCs/>
        </w:rPr>
      </w:pPr>
      <w:bookmarkStart w:id="114" w:name="_Toc322961190"/>
      <w:bookmarkStart w:id="115" w:name="_Toc326066025"/>
      <w:bookmarkStart w:id="116" w:name="_Toc326066295"/>
      <w:r w:rsidRPr="00682CE8">
        <w:rPr>
          <w:bCs/>
        </w:rPr>
        <w:t>В случае если в соответствии с требованиями государственных нормативных документов, участники конкурентных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rsidR="00682CE8" w:rsidRPr="00682CE8" w:rsidRDefault="00682CE8" w:rsidP="00682CE8">
      <w:pPr>
        <w:numPr>
          <w:ilvl w:val="1"/>
          <w:numId w:val="8"/>
        </w:numPr>
        <w:jc w:val="both"/>
        <w:rPr>
          <w:bCs/>
        </w:rPr>
      </w:pPr>
      <w:r w:rsidRPr="00682CE8">
        <w:rPr>
          <w:bCs/>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компаний, применяющих упрощенную систему налогообложения, или 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компаний в рамках проведения финансово-экономической экспертизы </w:t>
      </w:r>
      <w:proofErr w:type="spellStart"/>
      <w:r w:rsidRPr="00682CE8">
        <w:rPr>
          <w:bCs/>
        </w:rPr>
        <w:t>осуществляетсяэкспертно</w:t>
      </w:r>
      <w:proofErr w:type="spellEnd"/>
      <w:r w:rsidRPr="00682CE8">
        <w:rPr>
          <w:bCs/>
        </w:rPr>
        <w:t xml:space="preserve"> с учетом </w:t>
      </w:r>
      <w:proofErr w:type="spellStart"/>
      <w:r w:rsidRPr="00682CE8">
        <w:rPr>
          <w:bCs/>
        </w:rPr>
        <w:t>п.п</w:t>
      </w:r>
      <w:proofErr w:type="spellEnd"/>
      <w:r w:rsidRPr="00682CE8">
        <w:rPr>
          <w:bCs/>
        </w:rPr>
        <w:t>. 4.3.-4.5.</w:t>
      </w:r>
      <w:bookmarkEnd w:id="114"/>
      <w:bookmarkEnd w:id="115"/>
      <w:bookmarkEnd w:id="116"/>
    </w:p>
    <w:p w:rsidR="00682CE8" w:rsidRPr="00682CE8" w:rsidRDefault="00682CE8" w:rsidP="00682CE8">
      <w:pPr>
        <w:numPr>
          <w:ilvl w:val="1"/>
          <w:numId w:val="8"/>
        </w:numPr>
        <w:jc w:val="both"/>
        <w:rPr>
          <w:bCs/>
        </w:rPr>
      </w:pPr>
      <w:bookmarkStart w:id="117" w:name="_Toc322961191"/>
      <w:bookmarkStart w:id="118" w:name="_Toc326066026"/>
      <w:bookmarkStart w:id="119" w:name="_Toc326066296"/>
      <w:r w:rsidRPr="00682CE8">
        <w:rPr>
          <w:bCs/>
        </w:rPr>
        <w:t>Решение о прохождении компанией, применяющей УСН (в условиях отсутствия бухгалтерской отчетности) или индивидуального предпринимателя, отборочной стадии может быть принято только при одновременном выполнении следующих критериев:</w:t>
      </w:r>
      <w:bookmarkEnd w:id="117"/>
      <w:bookmarkEnd w:id="118"/>
      <w:bookmarkEnd w:id="119"/>
    </w:p>
    <w:p w:rsidR="00682CE8" w:rsidRPr="00682CE8" w:rsidRDefault="00682CE8" w:rsidP="00682CE8">
      <w:pPr>
        <w:numPr>
          <w:ilvl w:val="0"/>
          <w:numId w:val="14"/>
        </w:numPr>
        <w:ind w:left="1276" w:firstLine="0"/>
        <w:jc w:val="both"/>
        <w:rPr>
          <w:bCs/>
        </w:rPr>
      </w:pPr>
      <w:bookmarkStart w:id="120" w:name="_Toc322961192"/>
      <w:bookmarkStart w:id="121" w:name="_Toc326066027"/>
      <w:bookmarkStart w:id="122" w:name="_Toc326066297"/>
      <w:r w:rsidRPr="00682CE8">
        <w:rPr>
          <w:bCs/>
        </w:rPr>
        <w:t>срок существования не менее 3 лет;</w:t>
      </w:r>
      <w:bookmarkEnd w:id="120"/>
      <w:bookmarkEnd w:id="121"/>
      <w:bookmarkEnd w:id="122"/>
    </w:p>
    <w:p w:rsidR="00682CE8" w:rsidRPr="00682CE8" w:rsidRDefault="00682CE8" w:rsidP="00682CE8">
      <w:pPr>
        <w:numPr>
          <w:ilvl w:val="0"/>
          <w:numId w:val="14"/>
        </w:numPr>
        <w:ind w:left="1276" w:firstLine="0"/>
        <w:jc w:val="both"/>
        <w:rPr>
          <w:bCs/>
        </w:rPr>
      </w:pPr>
      <w:bookmarkStart w:id="123" w:name="_Toc322961193"/>
      <w:bookmarkStart w:id="124" w:name="_Toc326066028"/>
      <w:bookmarkStart w:id="125" w:name="_Toc326066298"/>
      <w:r w:rsidRPr="00682CE8">
        <w:rPr>
          <w:bCs/>
        </w:rPr>
        <w:t>вид деятельности участника закупочной процедуры по классификации ОКВЭД совпадает с предметом закупки;</w:t>
      </w:r>
      <w:bookmarkEnd w:id="123"/>
      <w:bookmarkEnd w:id="124"/>
      <w:bookmarkEnd w:id="125"/>
    </w:p>
    <w:p w:rsidR="00682CE8" w:rsidRPr="00682CE8" w:rsidRDefault="00682CE8" w:rsidP="00682CE8">
      <w:pPr>
        <w:numPr>
          <w:ilvl w:val="0"/>
          <w:numId w:val="14"/>
        </w:numPr>
        <w:ind w:left="1276" w:firstLine="0"/>
        <w:jc w:val="both"/>
        <w:rPr>
          <w:bCs/>
        </w:rPr>
      </w:pPr>
      <w:bookmarkStart w:id="126" w:name="_Toc322961194"/>
      <w:bookmarkStart w:id="127" w:name="_Toc326066029"/>
      <w:bookmarkStart w:id="128" w:name="_Toc326066299"/>
      <w:r w:rsidRPr="00682CE8">
        <w:rPr>
          <w:bCs/>
        </w:rPr>
        <w:t>компания имеет необходимые материально-технические и кадровые ресурсы (согласно предоставленным справкам);</w:t>
      </w:r>
      <w:bookmarkEnd w:id="126"/>
      <w:bookmarkEnd w:id="127"/>
      <w:bookmarkEnd w:id="128"/>
    </w:p>
    <w:p w:rsidR="00682CE8" w:rsidRPr="00682CE8" w:rsidRDefault="00682CE8" w:rsidP="00682CE8">
      <w:pPr>
        <w:numPr>
          <w:ilvl w:val="0"/>
          <w:numId w:val="14"/>
        </w:numPr>
        <w:ind w:left="1276" w:firstLine="0"/>
        <w:jc w:val="both"/>
        <w:rPr>
          <w:bCs/>
        </w:rPr>
      </w:pPr>
      <w:bookmarkStart w:id="129" w:name="_Toc322961195"/>
      <w:bookmarkStart w:id="130" w:name="_Toc326066030"/>
      <w:bookmarkStart w:id="131" w:name="_Toc326066300"/>
      <w:r w:rsidRPr="00682CE8">
        <w:rPr>
          <w:bCs/>
        </w:rPr>
        <w:t>стоимость планируемой закупки без НДС не превышает 120% годового дохода (согласно налоговой декларации);</w:t>
      </w:r>
      <w:bookmarkEnd w:id="129"/>
      <w:bookmarkEnd w:id="130"/>
      <w:bookmarkEnd w:id="131"/>
    </w:p>
    <w:p w:rsidR="00682CE8" w:rsidRPr="00682CE8" w:rsidRDefault="00682CE8" w:rsidP="00682CE8">
      <w:pPr>
        <w:numPr>
          <w:ilvl w:val="0"/>
          <w:numId w:val="14"/>
        </w:numPr>
        <w:ind w:left="1276" w:firstLine="0"/>
        <w:jc w:val="both"/>
        <w:rPr>
          <w:bCs/>
        </w:rPr>
      </w:pPr>
      <w:r w:rsidRPr="00682CE8">
        <w:rPr>
          <w:bCs/>
        </w:rPr>
        <w:t>финансовые условия сделки не предусматривают выплату аванса, не покрытого банковской гарантией.</w:t>
      </w:r>
    </w:p>
    <w:p w:rsidR="00682CE8" w:rsidRPr="00682CE8" w:rsidRDefault="00682CE8" w:rsidP="00682CE8">
      <w:pPr>
        <w:numPr>
          <w:ilvl w:val="1"/>
          <w:numId w:val="8"/>
        </w:numPr>
        <w:jc w:val="both"/>
      </w:pPr>
      <w:r w:rsidRPr="00682CE8">
        <w:rPr>
          <w:bCs/>
        </w:rPr>
        <w:t>За исключением случаев, описанных ниже в п. 4.5.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rsidR="00682CE8" w:rsidRPr="00682CE8" w:rsidRDefault="00682CE8" w:rsidP="00682CE8">
      <w:pPr>
        <w:numPr>
          <w:ilvl w:val="1"/>
          <w:numId w:val="8"/>
        </w:numPr>
        <w:jc w:val="both"/>
      </w:pPr>
      <w:r w:rsidRPr="00682CE8">
        <w:t>С целью расширения доступа компаний, применяющих упрощенную систему налогообложения (УСН) и индивидуальных предпринимателей к участию в конкурентных закупочных процедурах, организованных Обществом / ДЗО / ВЗО, в случаях, когда не выполнен только критерий соответствия масштабов деятельности участника стоимости планируемой закупки, и при этом все остальные критерии выполнены, включая отсутствие аванса, разрешается для ограниченного перечня конкурентных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конкурентных закупочных процедур для которых применимы положения настоящего пункта ограничивается закупочными процедурами по перечисленным ниже статьям расходов Общества / ДЗО / ВЗО и плановая стоимость закупки по которым не превышает 20 млн. рублей без НДС:</w:t>
      </w:r>
    </w:p>
    <w:p w:rsidR="00682CE8" w:rsidRPr="00682CE8" w:rsidRDefault="00682CE8" w:rsidP="00682CE8">
      <w:pPr>
        <w:numPr>
          <w:ilvl w:val="3"/>
          <w:numId w:val="19"/>
        </w:numPr>
        <w:ind w:left="1985"/>
        <w:jc w:val="both"/>
      </w:pPr>
      <w:r w:rsidRPr="00682CE8">
        <w:t>административно-хозяйственные расходы (поставки и услуги);</w:t>
      </w:r>
    </w:p>
    <w:p w:rsidR="00682CE8" w:rsidRPr="00682CE8" w:rsidRDefault="00682CE8" w:rsidP="00682CE8">
      <w:pPr>
        <w:numPr>
          <w:ilvl w:val="3"/>
          <w:numId w:val="19"/>
        </w:numPr>
        <w:ind w:left="1985"/>
        <w:jc w:val="both"/>
      </w:pPr>
      <w:r w:rsidRPr="00682CE8">
        <w:t>охрана (услуги);</w:t>
      </w:r>
    </w:p>
    <w:p w:rsidR="00682CE8" w:rsidRPr="00682CE8" w:rsidRDefault="00682CE8" w:rsidP="00682CE8">
      <w:pPr>
        <w:numPr>
          <w:ilvl w:val="3"/>
          <w:numId w:val="19"/>
        </w:numPr>
        <w:ind w:left="1985"/>
        <w:jc w:val="both"/>
      </w:pPr>
      <w:r w:rsidRPr="00682CE8">
        <w:t>консультационные и информационные расходы (поставки и услуги);</w:t>
      </w:r>
    </w:p>
    <w:p w:rsidR="00682CE8" w:rsidRPr="00682CE8" w:rsidRDefault="00682CE8" w:rsidP="00682CE8">
      <w:pPr>
        <w:numPr>
          <w:ilvl w:val="3"/>
          <w:numId w:val="19"/>
        </w:numPr>
        <w:ind w:left="1985"/>
        <w:jc w:val="both"/>
      </w:pPr>
      <w:r w:rsidRPr="00682CE8">
        <w:lastRenderedPageBreak/>
        <w:t>аудит и оценка (поставки и услуги);</w:t>
      </w:r>
    </w:p>
    <w:p w:rsidR="00682CE8" w:rsidRPr="00682CE8" w:rsidRDefault="00682CE8" w:rsidP="00682CE8">
      <w:pPr>
        <w:numPr>
          <w:ilvl w:val="3"/>
          <w:numId w:val="19"/>
        </w:numPr>
        <w:ind w:left="1985"/>
        <w:jc w:val="both"/>
      </w:pPr>
      <w:r w:rsidRPr="00682CE8">
        <w:t>юридические услуги (поставки и услуги);</w:t>
      </w:r>
    </w:p>
    <w:p w:rsidR="00682CE8" w:rsidRPr="00682CE8" w:rsidRDefault="00682CE8" w:rsidP="00682CE8">
      <w:pPr>
        <w:numPr>
          <w:ilvl w:val="3"/>
          <w:numId w:val="19"/>
        </w:numPr>
        <w:ind w:left="1985"/>
        <w:jc w:val="both"/>
      </w:pPr>
      <w:r w:rsidRPr="00682CE8">
        <w:t>корпоративное управление (поставки и услуги);</w:t>
      </w:r>
    </w:p>
    <w:p w:rsidR="00682CE8" w:rsidRPr="00682CE8" w:rsidRDefault="00682CE8" w:rsidP="00682CE8">
      <w:pPr>
        <w:numPr>
          <w:ilvl w:val="3"/>
          <w:numId w:val="19"/>
        </w:numPr>
        <w:ind w:left="1985"/>
        <w:jc w:val="both"/>
      </w:pPr>
      <w:r w:rsidRPr="00682CE8">
        <w:t>расходы на персонал (поставки и услуги);</w:t>
      </w:r>
    </w:p>
    <w:p w:rsidR="00682CE8" w:rsidRPr="00682CE8" w:rsidRDefault="00682CE8" w:rsidP="00682CE8">
      <w:pPr>
        <w:numPr>
          <w:ilvl w:val="3"/>
          <w:numId w:val="19"/>
        </w:numPr>
        <w:ind w:left="1985"/>
        <w:jc w:val="both"/>
      </w:pPr>
      <w:r w:rsidRPr="00682CE8">
        <w:t>реклама и маркетинг (поставки и услуги).</w:t>
      </w:r>
    </w:p>
    <w:p w:rsidR="00682CE8" w:rsidRPr="00682CE8" w:rsidRDefault="00682CE8" w:rsidP="00682CE8">
      <w:pPr>
        <w:numPr>
          <w:ilvl w:val="1"/>
          <w:numId w:val="8"/>
        </w:numPr>
        <w:jc w:val="both"/>
        <w:rPr>
          <w:rStyle w:val="10"/>
          <w:rFonts w:ascii="Times New Roman" w:hAnsi="Times New Roman" w:cs="Times New Roman"/>
          <w:b w:val="0"/>
        </w:rPr>
      </w:pPr>
      <w:bookmarkStart w:id="132" w:name="_Toc322961198"/>
      <w:bookmarkStart w:id="133" w:name="_Toc326066033"/>
      <w:bookmarkStart w:id="134" w:name="_Toc326066303"/>
      <w:r w:rsidRPr="00682CE8">
        <w:rPr>
          <w:bCs/>
        </w:rPr>
        <w:t>При отсутствии данных бухгалтерской отчетности в рамках проведения финансово-экономической экспертизы на оценочной стадии, компании, применяющей УСН, или индивидуальному предпринимателю не может быть присвоена оценка выше 1 (минимально допустимый уровень).</w:t>
      </w:r>
      <w:bookmarkEnd w:id="132"/>
      <w:bookmarkEnd w:id="133"/>
      <w:bookmarkEnd w:id="134"/>
    </w:p>
    <w:p w:rsidR="00682CE8" w:rsidRPr="00682CE8" w:rsidRDefault="00682CE8" w:rsidP="00682CE8">
      <w:pPr>
        <w:jc w:val="both"/>
        <w:rPr>
          <w:rStyle w:val="10"/>
          <w:rFonts w:ascii="Times New Roman" w:hAnsi="Times New Roman" w:cs="Times New Roman"/>
        </w:rPr>
      </w:pPr>
      <w:r w:rsidRPr="00682CE8">
        <w:rPr>
          <w:rStyle w:val="10"/>
          <w:rFonts w:ascii="Times New Roman" w:hAnsi="Times New Roman" w:cs="Times New Roman"/>
          <w:b w:val="0"/>
        </w:rPr>
        <w:br w:type="page"/>
      </w:r>
      <w:bookmarkStart w:id="135" w:name="_Toc322961199"/>
      <w:bookmarkStart w:id="136" w:name="_Toc326066034"/>
      <w:bookmarkStart w:id="137" w:name="_Toc326066304"/>
      <w:bookmarkStart w:id="138" w:name="_Toc326067326"/>
      <w:bookmarkStart w:id="139" w:name="_Toc326077661"/>
      <w:r w:rsidRPr="00682CE8">
        <w:rPr>
          <w:rStyle w:val="10"/>
          <w:rFonts w:ascii="Times New Roman" w:hAnsi="Times New Roman" w:cs="Times New Roman"/>
        </w:rPr>
        <w:lastRenderedPageBreak/>
        <w:t>Приложение 3 Ф</w:t>
      </w:r>
      <w:bookmarkEnd w:id="135"/>
      <w:r w:rsidRPr="00682CE8">
        <w:rPr>
          <w:rStyle w:val="10"/>
          <w:rFonts w:ascii="Times New Roman" w:hAnsi="Times New Roman" w:cs="Times New Roman"/>
        </w:rPr>
        <w:t>ормат заключения</w:t>
      </w:r>
      <w:bookmarkEnd w:id="136"/>
      <w:bookmarkEnd w:id="137"/>
      <w:bookmarkEnd w:id="138"/>
      <w:bookmarkEnd w:id="139"/>
    </w:p>
    <w:p w:rsidR="00682CE8" w:rsidRPr="00682CE8" w:rsidRDefault="00682CE8" w:rsidP="00682CE8">
      <w:pPr>
        <w:jc w:val="both"/>
        <w:rPr>
          <w:rStyle w:val="10"/>
          <w:rFonts w:ascii="Times New Roman" w:hAnsi="Times New Roman" w:cs="Times New Roman"/>
          <w:b w:val="0"/>
        </w:rPr>
      </w:pPr>
      <w:r w:rsidRPr="00682CE8">
        <w:rPr>
          <w:noProof/>
        </w:rPr>
        <w:drawing>
          <wp:inline distT="0" distB="0" distL="0" distR="0">
            <wp:extent cx="5791200" cy="84486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srcRect/>
                    <a:stretch>
                      <a:fillRect/>
                    </a:stretch>
                  </pic:blipFill>
                  <pic:spPr bwMode="auto">
                    <a:xfrm>
                      <a:off x="0" y="0"/>
                      <a:ext cx="5791200" cy="8448675"/>
                    </a:xfrm>
                    <a:prstGeom prst="rect">
                      <a:avLst/>
                    </a:prstGeom>
                    <a:noFill/>
                    <a:ln w="9525">
                      <a:noFill/>
                      <a:miter lim="800000"/>
                      <a:headEnd/>
                      <a:tailEnd/>
                    </a:ln>
                  </pic:spPr>
                </pic:pic>
              </a:graphicData>
            </a:graphic>
          </wp:inline>
        </w:drawing>
      </w:r>
    </w:p>
    <w:p w:rsidR="00682CE8" w:rsidRPr="00682CE8" w:rsidRDefault="00682CE8" w:rsidP="00682CE8">
      <w:pPr>
        <w:rPr>
          <w:rStyle w:val="afe"/>
        </w:rPr>
      </w:pPr>
      <w:bookmarkStart w:id="140" w:name="_Toc322961200"/>
      <w:bookmarkStart w:id="141" w:name="_Toc326066035"/>
      <w:bookmarkStart w:id="142" w:name="_Toc326066305"/>
      <w:r w:rsidRPr="00682CE8">
        <w:rPr>
          <w:noProof/>
        </w:rPr>
        <w:lastRenderedPageBreak/>
        <w:drawing>
          <wp:inline distT="0" distB="0" distL="0" distR="0">
            <wp:extent cx="5934075" cy="585787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srcRect/>
                    <a:stretch>
                      <a:fillRect/>
                    </a:stretch>
                  </pic:blipFill>
                  <pic:spPr bwMode="auto">
                    <a:xfrm>
                      <a:off x="0" y="0"/>
                      <a:ext cx="5934075" cy="5857875"/>
                    </a:xfrm>
                    <a:prstGeom prst="rect">
                      <a:avLst/>
                    </a:prstGeom>
                    <a:noFill/>
                    <a:ln w="9525">
                      <a:noFill/>
                      <a:miter lim="800000"/>
                      <a:headEnd/>
                      <a:tailEnd/>
                    </a:ln>
                  </pic:spPr>
                </pic:pic>
              </a:graphicData>
            </a:graphic>
          </wp:inline>
        </w:drawing>
      </w:r>
      <w:bookmarkEnd w:id="140"/>
      <w:bookmarkEnd w:id="141"/>
      <w:bookmarkEnd w:id="142"/>
    </w:p>
    <w:p w:rsidR="00682CE8" w:rsidRPr="00682CE8" w:rsidRDefault="00682CE8" w:rsidP="00682CE8">
      <w:pPr>
        <w:rPr>
          <w:rStyle w:val="afe"/>
        </w:rPr>
      </w:pPr>
    </w:p>
    <w:p w:rsidR="00682CE8" w:rsidRPr="00682CE8" w:rsidRDefault="00682CE8" w:rsidP="00682CE8">
      <w:pPr>
        <w:rPr>
          <w:rStyle w:val="afe"/>
        </w:rPr>
      </w:pPr>
    </w:p>
    <w:p w:rsidR="00232CCC" w:rsidRPr="00682CE8" w:rsidRDefault="00232CCC" w:rsidP="00F04E30">
      <w:pPr>
        <w:ind w:firstLine="5954"/>
        <w:jc w:val="both"/>
      </w:pPr>
    </w:p>
    <w:sectPr w:rsidR="00232CCC" w:rsidRPr="00682CE8" w:rsidSect="00340721">
      <w:headerReference w:type="default" r:id="rId25"/>
      <w:footerReference w:type="default" r:id="rId26"/>
      <w:pgSz w:w="11906" w:h="16838"/>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F52" w:rsidRDefault="00381F52" w:rsidP="00682CE8">
      <w:r>
        <w:separator/>
      </w:r>
    </w:p>
  </w:endnote>
  <w:endnote w:type="continuationSeparator" w:id="0">
    <w:p w:rsidR="00381F52" w:rsidRDefault="00381F52" w:rsidP="00682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CE" w:rsidRDefault="00377AD0" w:rsidP="007216E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F52" w:rsidRDefault="00381F52" w:rsidP="00682CE8">
      <w:r>
        <w:separator/>
      </w:r>
    </w:p>
  </w:footnote>
  <w:footnote w:type="continuationSeparator" w:id="0">
    <w:p w:rsidR="00381F52" w:rsidRDefault="00381F52" w:rsidP="00682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4CE" w:rsidRDefault="00377AD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028DD"/>
    <w:multiLevelType w:val="hybridMultilevel"/>
    <w:tmpl w:val="BBBCCA3E"/>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6">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A116FB"/>
    <w:multiLevelType w:val="hybridMultilevel"/>
    <w:tmpl w:val="A84266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F55075"/>
    <w:multiLevelType w:val="multilevel"/>
    <w:tmpl w:val="97F4DEB0"/>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959061E"/>
    <w:multiLevelType w:val="hybridMultilevel"/>
    <w:tmpl w:val="BF8E2012"/>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681F0D"/>
    <w:multiLevelType w:val="multilevel"/>
    <w:tmpl w:val="075A484A"/>
    <w:lvl w:ilvl="0">
      <w:start w:val="1"/>
      <w:numFmt w:val="decimal"/>
      <w:pStyle w:val="116"/>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17"/>
  </w:num>
  <w:num w:numId="3">
    <w:abstractNumId w:val="12"/>
  </w:num>
  <w:num w:numId="4">
    <w:abstractNumId w:val="5"/>
  </w:num>
  <w:num w:numId="5">
    <w:abstractNumId w:val="11"/>
  </w:num>
  <w:num w:numId="6">
    <w:abstractNumId w:val="9"/>
  </w:num>
  <w:num w:numId="7">
    <w:abstractNumId w:val="3"/>
  </w:num>
  <w:num w:numId="8">
    <w:abstractNumId w:val="15"/>
  </w:num>
  <w:num w:numId="9">
    <w:abstractNumId w:val="13"/>
  </w:num>
  <w:num w:numId="10">
    <w:abstractNumId w:val="14"/>
  </w:num>
  <w:num w:numId="11">
    <w:abstractNumId w:val="4"/>
  </w:num>
  <w:num w:numId="12">
    <w:abstractNumId w:val="16"/>
  </w:num>
  <w:num w:numId="13">
    <w:abstractNumId w:val="7"/>
  </w:num>
  <w:num w:numId="14">
    <w:abstractNumId w:val="2"/>
  </w:num>
  <w:num w:numId="15">
    <w:abstractNumId w:val="8"/>
  </w:num>
  <w:num w:numId="16">
    <w:abstractNumId w:val="10"/>
  </w:num>
  <w:num w:numId="17">
    <w:abstractNumId w:val="1"/>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CE8"/>
    <w:rsid w:val="000D5B4E"/>
    <w:rsid w:val="00232CCC"/>
    <w:rsid w:val="002A7B5E"/>
    <w:rsid w:val="00377AD0"/>
    <w:rsid w:val="00381F52"/>
    <w:rsid w:val="003A136F"/>
    <w:rsid w:val="005D3BE9"/>
    <w:rsid w:val="00682CE8"/>
    <w:rsid w:val="0074334D"/>
    <w:rsid w:val="00791B23"/>
    <w:rsid w:val="009517D4"/>
    <w:rsid w:val="00B9090C"/>
    <w:rsid w:val="00EB3BA6"/>
    <w:rsid w:val="00F04E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C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82CE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82CE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82CE8"/>
    <w:pPr>
      <w:keepNext/>
      <w:spacing w:before="240" w:after="60"/>
      <w:outlineLvl w:val="2"/>
    </w:pPr>
    <w:rPr>
      <w:rFonts w:ascii="Arial" w:hAnsi="Arial" w:cs="Arial"/>
      <w:b/>
      <w:bCs/>
      <w:sz w:val="26"/>
      <w:szCs w:val="26"/>
    </w:rPr>
  </w:style>
  <w:style w:type="paragraph" w:styleId="4">
    <w:name w:val="heading 4"/>
    <w:basedOn w:val="a"/>
    <w:next w:val="a"/>
    <w:link w:val="40"/>
    <w:qFormat/>
    <w:rsid w:val="00682CE8"/>
    <w:pPr>
      <w:keepNext/>
      <w:spacing w:before="240" w:after="60"/>
      <w:outlineLvl w:val="3"/>
    </w:pPr>
    <w:rPr>
      <w:b/>
      <w:bCs/>
      <w:sz w:val="28"/>
      <w:szCs w:val="28"/>
    </w:rPr>
  </w:style>
  <w:style w:type="paragraph" w:styleId="6">
    <w:name w:val="heading 6"/>
    <w:basedOn w:val="a"/>
    <w:next w:val="a"/>
    <w:link w:val="60"/>
    <w:qFormat/>
    <w:rsid w:val="00682CE8"/>
    <w:pPr>
      <w:spacing w:before="240" w:after="60"/>
      <w:outlineLvl w:val="5"/>
    </w:pPr>
    <w:rPr>
      <w:b/>
      <w:bCs/>
      <w:sz w:val="22"/>
      <w:szCs w:val="22"/>
    </w:rPr>
  </w:style>
  <w:style w:type="paragraph" w:styleId="7">
    <w:name w:val="heading 7"/>
    <w:basedOn w:val="a"/>
    <w:next w:val="a"/>
    <w:link w:val="70"/>
    <w:qFormat/>
    <w:rsid w:val="00682CE8"/>
    <w:pPr>
      <w:keepNext/>
      <w:ind w:left="2127" w:firstLine="709"/>
      <w:jc w:val="center"/>
      <w:outlineLvl w:val="6"/>
    </w:pPr>
    <w:rPr>
      <w:rFonts w:ascii="FreeSetCTT" w:hAnsi="FreeSetCTT"/>
      <w:b/>
      <w:bCs/>
    </w:rPr>
  </w:style>
  <w:style w:type="paragraph" w:styleId="8">
    <w:name w:val="heading 8"/>
    <w:basedOn w:val="a"/>
    <w:next w:val="a"/>
    <w:link w:val="80"/>
    <w:qFormat/>
    <w:rsid w:val="00682CE8"/>
    <w:pPr>
      <w:spacing w:before="240" w:after="60"/>
      <w:outlineLvl w:val="7"/>
    </w:pPr>
    <w:rPr>
      <w:i/>
      <w:iCs/>
    </w:rPr>
  </w:style>
  <w:style w:type="paragraph" w:styleId="9">
    <w:name w:val="heading 9"/>
    <w:basedOn w:val="a"/>
    <w:next w:val="a"/>
    <w:link w:val="90"/>
    <w:qFormat/>
    <w:rsid w:val="00682CE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CE8"/>
    <w:rPr>
      <w:rFonts w:ascii="Arial" w:eastAsia="Times New Roman" w:hAnsi="Arial" w:cs="Arial"/>
      <w:b/>
      <w:bCs/>
      <w:kern w:val="32"/>
      <w:sz w:val="32"/>
      <w:szCs w:val="32"/>
      <w:lang w:eastAsia="ru-RU"/>
    </w:rPr>
  </w:style>
  <w:style w:type="character" w:customStyle="1" w:styleId="20">
    <w:name w:val="Заголовок 2 Знак"/>
    <w:basedOn w:val="a0"/>
    <w:link w:val="2"/>
    <w:rsid w:val="00682CE8"/>
    <w:rPr>
      <w:rFonts w:ascii="Arial" w:eastAsia="Times New Roman" w:hAnsi="Arial" w:cs="Arial"/>
      <w:b/>
      <w:bCs/>
      <w:i/>
      <w:iCs/>
      <w:sz w:val="28"/>
      <w:szCs w:val="28"/>
      <w:lang w:eastAsia="ru-RU"/>
    </w:rPr>
  </w:style>
  <w:style w:type="character" w:customStyle="1" w:styleId="30">
    <w:name w:val="Заголовок 3 Знак"/>
    <w:basedOn w:val="a0"/>
    <w:link w:val="3"/>
    <w:rsid w:val="00682CE8"/>
    <w:rPr>
      <w:rFonts w:ascii="Arial" w:eastAsia="Times New Roman" w:hAnsi="Arial" w:cs="Arial"/>
      <w:b/>
      <w:bCs/>
      <w:sz w:val="26"/>
      <w:szCs w:val="26"/>
      <w:lang w:eastAsia="ru-RU"/>
    </w:rPr>
  </w:style>
  <w:style w:type="character" w:customStyle="1" w:styleId="40">
    <w:name w:val="Заголовок 4 Знак"/>
    <w:basedOn w:val="a0"/>
    <w:link w:val="4"/>
    <w:rsid w:val="00682CE8"/>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682CE8"/>
    <w:rPr>
      <w:rFonts w:ascii="Times New Roman" w:eastAsia="Times New Roman" w:hAnsi="Times New Roman" w:cs="Times New Roman"/>
      <w:b/>
      <w:bCs/>
      <w:lang w:eastAsia="ru-RU"/>
    </w:rPr>
  </w:style>
  <w:style w:type="character" w:customStyle="1" w:styleId="70">
    <w:name w:val="Заголовок 7 Знак"/>
    <w:basedOn w:val="a0"/>
    <w:link w:val="7"/>
    <w:rsid w:val="00682CE8"/>
    <w:rPr>
      <w:rFonts w:ascii="FreeSetCTT" w:eastAsia="Times New Roman" w:hAnsi="FreeSetCTT" w:cs="Times New Roman"/>
      <w:b/>
      <w:bCs/>
      <w:sz w:val="24"/>
      <w:szCs w:val="24"/>
      <w:lang w:eastAsia="ru-RU"/>
    </w:rPr>
  </w:style>
  <w:style w:type="character" w:customStyle="1" w:styleId="80">
    <w:name w:val="Заголовок 8 Знак"/>
    <w:basedOn w:val="a0"/>
    <w:link w:val="8"/>
    <w:rsid w:val="00682CE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82CE8"/>
    <w:rPr>
      <w:rFonts w:ascii="Arial" w:eastAsia="Times New Roman" w:hAnsi="Arial" w:cs="Arial"/>
      <w:lang w:eastAsia="ru-RU"/>
    </w:rPr>
  </w:style>
  <w:style w:type="paragraph" w:customStyle="1" w:styleId="112">
    <w:name w:val="Стиль Заголовок 1 + 12 пт"/>
    <w:basedOn w:val="1"/>
    <w:rsid w:val="00682CE8"/>
    <w:pPr>
      <w:jc w:val="center"/>
    </w:pPr>
    <w:rPr>
      <w:sz w:val="24"/>
    </w:rPr>
  </w:style>
  <w:style w:type="paragraph" w:customStyle="1" w:styleId="Arial">
    <w:name w:val="Стиль Рег_текст + Arial"/>
    <w:basedOn w:val="a"/>
    <w:rsid w:val="00682CE8"/>
    <w:pPr>
      <w:spacing w:before="120"/>
      <w:jc w:val="both"/>
    </w:pPr>
    <w:rPr>
      <w:rFonts w:ascii="Arial" w:hAnsi="Arial"/>
    </w:rPr>
  </w:style>
  <w:style w:type="table" w:styleId="a3">
    <w:name w:val="Table Grid"/>
    <w:basedOn w:val="a1"/>
    <w:rsid w:val="00682C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682CE8"/>
    <w:pPr>
      <w:jc w:val="center"/>
    </w:pPr>
    <w:rPr>
      <w:b/>
      <w:bCs/>
      <w:sz w:val="28"/>
    </w:rPr>
  </w:style>
  <w:style w:type="character" w:customStyle="1" w:styleId="a5">
    <w:name w:val="Название Знак"/>
    <w:basedOn w:val="a0"/>
    <w:link w:val="a4"/>
    <w:rsid w:val="00682CE8"/>
    <w:rPr>
      <w:rFonts w:ascii="Times New Roman" w:eastAsia="Times New Roman" w:hAnsi="Times New Roman" w:cs="Times New Roman"/>
      <w:b/>
      <w:bCs/>
      <w:sz w:val="28"/>
      <w:szCs w:val="24"/>
      <w:lang w:eastAsia="ru-RU"/>
    </w:rPr>
  </w:style>
  <w:style w:type="paragraph" w:styleId="a6">
    <w:name w:val="Body Text"/>
    <w:basedOn w:val="a"/>
    <w:link w:val="a7"/>
    <w:rsid w:val="00682CE8"/>
    <w:pPr>
      <w:jc w:val="center"/>
    </w:pPr>
    <w:rPr>
      <w:rFonts w:ascii="FreeSetCTT" w:hAnsi="FreeSetCTT"/>
      <w:b/>
      <w:bCs/>
      <w:sz w:val="36"/>
    </w:rPr>
  </w:style>
  <w:style w:type="character" w:customStyle="1" w:styleId="a7">
    <w:name w:val="Основной текст Знак"/>
    <w:basedOn w:val="a0"/>
    <w:link w:val="a6"/>
    <w:rsid w:val="00682CE8"/>
    <w:rPr>
      <w:rFonts w:ascii="FreeSetCTT" w:eastAsia="Times New Roman" w:hAnsi="FreeSetCTT" w:cs="Times New Roman"/>
      <w:b/>
      <w:bCs/>
      <w:sz w:val="36"/>
      <w:szCs w:val="24"/>
      <w:lang w:eastAsia="ru-RU"/>
    </w:rPr>
  </w:style>
  <w:style w:type="paragraph" w:styleId="a8">
    <w:name w:val="Balloon Text"/>
    <w:basedOn w:val="a"/>
    <w:link w:val="a9"/>
    <w:semiHidden/>
    <w:rsid w:val="00682CE8"/>
    <w:rPr>
      <w:rFonts w:ascii="Tahoma" w:hAnsi="Tahoma" w:cs="Tahoma"/>
      <w:sz w:val="16"/>
      <w:szCs w:val="16"/>
    </w:rPr>
  </w:style>
  <w:style w:type="character" w:customStyle="1" w:styleId="a9">
    <w:name w:val="Текст выноски Знак"/>
    <w:basedOn w:val="a0"/>
    <w:link w:val="a8"/>
    <w:semiHidden/>
    <w:rsid w:val="00682CE8"/>
    <w:rPr>
      <w:rFonts w:ascii="Tahoma" w:eastAsia="Times New Roman" w:hAnsi="Tahoma" w:cs="Tahoma"/>
      <w:sz w:val="16"/>
      <w:szCs w:val="16"/>
      <w:lang w:eastAsia="ru-RU"/>
    </w:rPr>
  </w:style>
  <w:style w:type="character" w:styleId="aa">
    <w:name w:val="Hyperlink"/>
    <w:uiPriority w:val="99"/>
    <w:rsid w:val="00682CE8"/>
    <w:rPr>
      <w:color w:val="0000FF"/>
      <w:u w:val="single"/>
    </w:rPr>
  </w:style>
  <w:style w:type="paragraph" w:styleId="11">
    <w:name w:val="toc 1"/>
    <w:basedOn w:val="a"/>
    <w:next w:val="a"/>
    <w:autoRedefine/>
    <w:uiPriority w:val="39"/>
    <w:rsid w:val="00682CE8"/>
    <w:pPr>
      <w:spacing w:before="120"/>
    </w:pPr>
    <w:rPr>
      <w:rFonts w:ascii="Arial" w:hAnsi="Arial"/>
      <w:bCs/>
      <w:iCs/>
    </w:rPr>
  </w:style>
  <w:style w:type="paragraph" w:styleId="21">
    <w:name w:val="toc 2"/>
    <w:basedOn w:val="a"/>
    <w:next w:val="a"/>
    <w:autoRedefine/>
    <w:semiHidden/>
    <w:rsid w:val="00682CE8"/>
    <w:pPr>
      <w:spacing w:before="120"/>
      <w:ind w:left="240"/>
    </w:pPr>
    <w:rPr>
      <w:rFonts w:ascii="Arial" w:hAnsi="Arial"/>
      <w:bCs/>
      <w:sz w:val="22"/>
      <w:szCs w:val="22"/>
    </w:rPr>
  </w:style>
  <w:style w:type="paragraph" w:styleId="31">
    <w:name w:val="toc 3"/>
    <w:basedOn w:val="a"/>
    <w:next w:val="a"/>
    <w:autoRedefine/>
    <w:semiHidden/>
    <w:rsid w:val="00682CE8"/>
    <w:pPr>
      <w:ind w:left="480"/>
    </w:pPr>
    <w:rPr>
      <w:rFonts w:ascii="Arial" w:hAnsi="Arial"/>
      <w:sz w:val="20"/>
      <w:szCs w:val="20"/>
    </w:rPr>
  </w:style>
  <w:style w:type="paragraph" w:styleId="41">
    <w:name w:val="toc 4"/>
    <w:basedOn w:val="a"/>
    <w:next w:val="a"/>
    <w:autoRedefine/>
    <w:semiHidden/>
    <w:rsid w:val="00682CE8"/>
    <w:pPr>
      <w:ind w:left="720"/>
    </w:pPr>
    <w:rPr>
      <w:rFonts w:ascii="Arial" w:hAnsi="Arial"/>
      <w:sz w:val="20"/>
      <w:szCs w:val="20"/>
    </w:rPr>
  </w:style>
  <w:style w:type="paragraph" w:styleId="5">
    <w:name w:val="toc 5"/>
    <w:basedOn w:val="a"/>
    <w:next w:val="a"/>
    <w:autoRedefine/>
    <w:semiHidden/>
    <w:rsid w:val="00682CE8"/>
    <w:pPr>
      <w:ind w:left="960"/>
    </w:pPr>
    <w:rPr>
      <w:sz w:val="20"/>
      <w:szCs w:val="20"/>
    </w:rPr>
  </w:style>
  <w:style w:type="paragraph" w:styleId="61">
    <w:name w:val="toc 6"/>
    <w:basedOn w:val="a"/>
    <w:next w:val="a"/>
    <w:autoRedefine/>
    <w:semiHidden/>
    <w:rsid w:val="00682CE8"/>
    <w:pPr>
      <w:ind w:left="1200"/>
    </w:pPr>
    <w:rPr>
      <w:sz w:val="20"/>
      <w:szCs w:val="20"/>
    </w:rPr>
  </w:style>
  <w:style w:type="paragraph" w:styleId="71">
    <w:name w:val="toc 7"/>
    <w:basedOn w:val="a"/>
    <w:next w:val="a"/>
    <w:autoRedefine/>
    <w:semiHidden/>
    <w:rsid w:val="00682CE8"/>
    <w:pPr>
      <w:ind w:left="1440"/>
    </w:pPr>
    <w:rPr>
      <w:sz w:val="20"/>
      <w:szCs w:val="20"/>
    </w:rPr>
  </w:style>
  <w:style w:type="paragraph" w:styleId="81">
    <w:name w:val="toc 8"/>
    <w:basedOn w:val="a"/>
    <w:next w:val="a"/>
    <w:autoRedefine/>
    <w:semiHidden/>
    <w:rsid w:val="00682CE8"/>
    <w:pPr>
      <w:ind w:left="1680"/>
    </w:pPr>
    <w:rPr>
      <w:sz w:val="20"/>
      <w:szCs w:val="20"/>
    </w:rPr>
  </w:style>
  <w:style w:type="paragraph" w:styleId="91">
    <w:name w:val="toc 9"/>
    <w:basedOn w:val="a"/>
    <w:next w:val="a"/>
    <w:autoRedefine/>
    <w:semiHidden/>
    <w:rsid w:val="00682CE8"/>
    <w:pPr>
      <w:ind w:left="1920"/>
    </w:pPr>
    <w:rPr>
      <w:sz w:val="20"/>
      <w:szCs w:val="20"/>
    </w:rPr>
  </w:style>
  <w:style w:type="paragraph" w:styleId="ab">
    <w:name w:val="Body Text Indent"/>
    <w:basedOn w:val="a"/>
    <w:link w:val="ac"/>
    <w:rsid w:val="00682CE8"/>
    <w:pPr>
      <w:spacing w:after="120"/>
      <w:ind w:left="283"/>
    </w:pPr>
  </w:style>
  <w:style w:type="character" w:customStyle="1" w:styleId="ac">
    <w:name w:val="Основной текст с отступом Знак"/>
    <w:basedOn w:val="a0"/>
    <w:link w:val="ab"/>
    <w:rsid w:val="00682CE8"/>
    <w:rPr>
      <w:rFonts w:ascii="Times New Roman" w:eastAsia="Times New Roman" w:hAnsi="Times New Roman" w:cs="Times New Roman"/>
      <w:sz w:val="24"/>
      <w:szCs w:val="24"/>
      <w:lang w:eastAsia="ru-RU"/>
    </w:rPr>
  </w:style>
  <w:style w:type="paragraph" w:styleId="32">
    <w:name w:val="Body Text 3"/>
    <w:basedOn w:val="a"/>
    <w:link w:val="33"/>
    <w:rsid w:val="00682CE8"/>
    <w:pPr>
      <w:spacing w:after="120"/>
    </w:pPr>
    <w:rPr>
      <w:sz w:val="16"/>
      <w:szCs w:val="16"/>
    </w:rPr>
  </w:style>
  <w:style w:type="character" w:customStyle="1" w:styleId="33">
    <w:name w:val="Основной текст 3 Знак"/>
    <w:basedOn w:val="a0"/>
    <w:link w:val="32"/>
    <w:rsid w:val="00682CE8"/>
    <w:rPr>
      <w:rFonts w:ascii="Times New Roman" w:eastAsia="Times New Roman" w:hAnsi="Times New Roman" w:cs="Times New Roman"/>
      <w:sz w:val="16"/>
      <w:szCs w:val="16"/>
      <w:lang w:eastAsia="ru-RU"/>
    </w:rPr>
  </w:style>
  <w:style w:type="paragraph" w:styleId="22">
    <w:name w:val="Body Text Indent 2"/>
    <w:basedOn w:val="a"/>
    <w:link w:val="23"/>
    <w:rsid w:val="00682CE8"/>
    <w:pPr>
      <w:spacing w:after="120" w:line="480" w:lineRule="auto"/>
      <w:ind w:left="283"/>
    </w:pPr>
  </w:style>
  <w:style w:type="character" w:customStyle="1" w:styleId="23">
    <w:name w:val="Основной текст с отступом 2 Знак"/>
    <w:basedOn w:val="a0"/>
    <w:link w:val="22"/>
    <w:rsid w:val="00682CE8"/>
    <w:rPr>
      <w:rFonts w:ascii="Times New Roman" w:eastAsia="Times New Roman" w:hAnsi="Times New Roman" w:cs="Times New Roman"/>
      <w:sz w:val="24"/>
      <w:szCs w:val="24"/>
      <w:lang w:eastAsia="ru-RU"/>
    </w:rPr>
  </w:style>
  <w:style w:type="paragraph" w:customStyle="1" w:styleId="NRUS">
    <w:name w:val="N_RUS"/>
    <w:basedOn w:val="a"/>
    <w:rsid w:val="00682CE8"/>
    <w:pPr>
      <w:autoSpaceDE w:val="0"/>
      <w:autoSpaceDN w:val="0"/>
      <w:jc w:val="both"/>
    </w:pPr>
    <w:rPr>
      <w:rFonts w:ascii="Antiqua" w:hAnsi="Antiqua"/>
    </w:rPr>
  </w:style>
  <w:style w:type="paragraph" w:customStyle="1" w:styleId="34">
    <w:name w:val="заголовок 3"/>
    <w:basedOn w:val="a"/>
    <w:next w:val="a"/>
    <w:rsid w:val="00682CE8"/>
    <w:pPr>
      <w:keepNext/>
      <w:autoSpaceDE w:val="0"/>
      <w:autoSpaceDN w:val="0"/>
    </w:pPr>
    <w:rPr>
      <w:rFonts w:ascii="Arial" w:hAnsi="Arial" w:cs="Arial"/>
      <w:b/>
      <w:bCs/>
      <w:sz w:val="18"/>
    </w:rPr>
  </w:style>
  <w:style w:type="paragraph" w:customStyle="1" w:styleId="62">
    <w:name w:val="заголовок 6"/>
    <w:basedOn w:val="a"/>
    <w:next w:val="a"/>
    <w:rsid w:val="00682CE8"/>
    <w:pPr>
      <w:keepNext/>
      <w:autoSpaceDE w:val="0"/>
      <w:autoSpaceDN w:val="0"/>
      <w:jc w:val="center"/>
    </w:pPr>
    <w:rPr>
      <w:i/>
      <w:iCs/>
    </w:rPr>
  </w:style>
  <w:style w:type="character" w:customStyle="1" w:styleId="ad">
    <w:name w:val="номер страницы"/>
    <w:basedOn w:val="a0"/>
    <w:rsid w:val="00682CE8"/>
  </w:style>
  <w:style w:type="character" w:styleId="ae">
    <w:name w:val="page number"/>
    <w:basedOn w:val="a0"/>
    <w:rsid w:val="00682CE8"/>
  </w:style>
  <w:style w:type="paragraph" w:styleId="af">
    <w:name w:val="header"/>
    <w:basedOn w:val="a"/>
    <w:link w:val="af0"/>
    <w:rsid w:val="00682CE8"/>
    <w:pPr>
      <w:tabs>
        <w:tab w:val="center" w:pos="4677"/>
        <w:tab w:val="right" w:pos="9355"/>
      </w:tabs>
    </w:pPr>
  </w:style>
  <w:style w:type="character" w:customStyle="1" w:styleId="af0">
    <w:name w:val="Верхний колонтитул Знак"/>
    <w:basedOn w:val="a0"/>
    <w:link w:val="af"/>
    <w:rsid w:val="00682CE8"/>
    <w:rPr>
      <w:rFonts w:ascii="Times New Roman" w:eastAsia="Times New Roman" w:hAnsi="Times New Roman" w:cs="Times New Roman"/>
      <w:sz w:val="24"/>
      <w:szCs w:val="24"/>
      <w:lang w:eastAsia="ru-RU"/>
    </w:rPr>
  </w:style>
  <w:style w:type="paragraph" w:styleId="af1">
    <w:name w:val="annotation text"/>
    <w:basedOn w:val="a"/>
    <w:link w:val="af2"/>
    <w:semiHidden/>
    <w:rsid w:val="00682CE8"/>
    <w:rPr>
      <w:sz w:val="20"/>
      <w:szCs w:val="20"/>
    </w:rPr>
  </w:style>
  <w:style w:type="character" w:customStyle="1" w:styleId="af2">
    <w:name w:val="Текст примечания Знак"/>
    <w:basedOn w:val="a0"/>
    <w:link w:val="af1"/>
    <w:semiHidden/>
    <w:rsid w:val="00682CE8"/>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682CE8"/>
    <w:rPr>
      <w:b/>
      <w:bCs/>
    </w:rPr>
  </w:style>
  <w:style w:type="character" w:customStyle="1" w:styleId="af4">
    <w:name w:val="Тема примечания Знак"/>
    <w:basedOn w:val="af2"/>
    <w:link w:val="af3"/>
    <w:semiHidden/>
    <w:rsid w:val="00682CE8"/>
    <w:rPr>
      <w:rFonts w:ascii="Times New Roman" w:eastAsia="Times New Roman" w:hAnsi="Times New Roman" w:cs="Times New Roman"/>
      <w:b/>
      <w:bCs/>
      <w:sz w:val="20"/>
      <w:szCs w:val="20"/>
      <w:lang w:eastAsia="ru-RU"/>
    </w:rPr>
  </w:style>
  <w:style w:type="paragraph" w:styleId="af5">
    <w:name w:val="footer"/>
    <w:basedOn w:val="a"/>
    <w:link w:val="af6"/>
    <w:uiPriority w:val="99"/>
    <w:rsid w:val="00682CE8"/>
    <w:pPr>
      <w:tabs>
        <w:tab w:val="center" w:pos="4677"/>
        <w:tab w:val="right" w:pos="9355"/>
      </w:tabs>
    </w:pPr>
  </w:style>
  <w:style w:type="character" w:customStyle="1" w:styleId="af6">
    <w:name w:val="Нижний колонтитул Знак"/>
    <w:basedOn w:val="a0"/>
    <w:link w:val="af5"/>
    <w:uiPriority w:val="99"/>
    <w:rsid w:val="00682CE8"/>
    <w:rPr>
      <w:rFonts w:ascii="Times New Roman" w:eastAsia="Times New Roman" w:hAnsi="Times New Roman" w:cs="Times New Roman"/>
      <w:sz w:val="24"/>
      <w:szCs w:val="24"/>
    </w:rPr>
  </w:style>
  <w:style w:type="paragraph" w:styleId="af7">
    <w:name w:val="footnote text"/>
    <w:basedOn w:val="a"/>
    <w:link w:val="af8"/>
    <w:semiHidden/>
    <w:rsid w:val="00682CE8"/>
    <w:rPr>
      <w:sz w:val="20"/>
      <w:szCs w:val="20"/>
    </w:rPr>
  </w:style>
  <w:style w:type="character" w:customStyle="1" w:styleId="af8">
    <w:name w:val="Текст сноски Знак"/>
    <w:basedOn w:val="a0"/>
    <w:link w:val="af7"/>
    <w:semiHidden/>
    <w:rsid w:val="00682CE8"/>
    <w:rPr>
      <w:rFonts w:ascii="Times New Roman" w:eastAsia="Times New Roman" w:hAnsi="Times New Roman" w:cs="Times New Roman"/>
      <w:sz w:val="20"/>
      <w:szCs w:val="20"/>
      <w:lang w:eastAsia="ru-RU"/>
    </w:rPr>
  </w:style>
  <w:style w:type="character" w:styleId="af9">
    <w:name w:val="footnote reference"/>
    <w:semiHidden/>
    <w:rsid w:val="00682CE8"/>
    <w:rPr>
      <w:vertAlign w:val="superscript"/>
    </w:rPr>
  </w:style>
  <w:style w:type="character" w:styleId="afa">
    <w:name w:val="annotation reference"/>
    <w:semiHidden/>
    <w:rsid w:val="00682CE8"/>
    <w:rPr>
      <w:sz w:val="16"/>
      <w:szCs w:val="16"/>
    </w:rPr>
  </w:style>
  <w:style w:type="paragraph" w:styleId="afb">
    <w:name w:val="Document Map"/>
    <w:basedOn w:val="a"/>
    <w:link w:val="afc"/>
    <w:semiHidden/>
    <w:rsid w:val="00682CE8"/>
    <w:pPr>
      <w:shd w:val="clear" w:color="auto" w:fill="000080"/>
    </w:pPr>
    <w:rPr>
      <w:rFonts w:ascii="Tahoma" w:hAnsi="Tahoma" w:cs="Tahoma"/>
      <w:sz w:val="20"/>
      <w:szCs w:val="20"/>
    </w:rPr>
  </w:style>
  <w:style w:type="character" w:customStyle="1" w:styleId="afc">
    <w:name w:val="Схема документа Знак"/>
    <w:basedOn w:val="a0"/>
    <w:link w:val="afb"/>
    <w:semiHidden/>
    <w:rsid w:val="00682CE8"/>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
    <w:rsid w:val="00682CE8"/>
    <w:pPr>
      <w:numPr>
        <w:numId w:val="1"/>
      </w:numPr>
    </w:pPr>
    <w:rPr>
      <w:rFonts w:ascii="Arial" w:hAnsi="Arial"/>
    </w:rPr>
  </w:style>
  <w:style w:type="paragraph" w:customStyle="1" w:styleId="1-">
    <w:name w:val="Ст1-осн.текст"/>
    <w:basedOn w:val="ab"/>
    <w:rsid w:val="00682CE8"/>
    <w:pPr>
      <w:spacing w:after="240"/>
      <w:ind w:left="0"/>
      <w:jc w:val="both"/>
    </w:pPr>
    <w:rPr>
      <w:rFonts w:ascii="Arial" w:hAnsi="Arial"/>
      <w:szCs w:val="20"/>
      <w:lang w:eastAsia="en-US"/>
    </w:rPr>
  </w:style>
  <w:style w:type="paragraph" w:customStyle="1" w:styleId="Web">
    <w:name w:val="Обычный (Web)"/>
    <w:basedOn w:val="a"/>
    <w:rsid w:val="00682CE8"/>
    <w:pPr>
      <w:spacing w:before="100" w:after="100"/>
    </w:pPr>
    <w:rPr>
      <w:rFonts w:ascii="Arial Unicode MS" w:eastAsia="Arial Unicode MS" w:hAnsi="Arial Unicode MS"/>
      <w:szCs w:val="20"/>
    </w:rPr>
  </w:style>
  <w:style w:type="paragraph" w:styleId="HTML">
    <w:name w:val="HTML Preformatted"/>
    <w:basedOn w:val="a"/>
    <w:link w:val="HTML0"/>
    <w:rsid w:val="0068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82CE8"/>
    <w:rPr>
      <w:rFonts w:ascii="Courier New" w:eastAsia="Times New Roman" w:hAnsi="Courier New" w:cs="Courier New"/>
      <w:sz w:val="20"/>
      <w:szCs w:val="20"/>
      <w:lang w:eastAsia="ru-RU"/>
    </w:rPr>
  </w:style>
  <w:style w:type="paragraph" w:styleId="afd">
    <w:name w:val="List Paragraph"/>
    <w:basedOn w:val="a"/>
    <w:uiPriority w:val="34"/>
    <w:qFormat/>
    <w:rsid w:val="00682CE8"/>
    <w:pPr>
      <w:ind w:left="708"/>
    </w:pPr>
  </w:style>
  <w:style w:type="character" w:styleId="afe">
    <w:name w:val="Emphasis"/>
    <w:qFormat/>
    <w:rsid w:val="00682CE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C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82CE8"/>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82CE8"/>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82CE8"/>
    <w:pPr>
      <w:keepNext/>
      <w:spacing w:before="240" w:after="60"/>
      <w:outlineLvl w:val="2"/>
    </w:pPr>
    <w:rPr>
      <w:rFonts w:ascii="Arial" w:hAnsi="Arial" w:cs="Arial"/>
      <w:b/>
      <w:bCs/>
      <w:sz w:val="26"/>
      <w:szCs w:val="26"/>
    </w:rPr>
  </w:style>
  <w:style w:type="paragraph" w:styleId="4">
    <w:name w:val="heading 4"/>
    <w:basedOn w:val="a"/>
    <w:next w:val="a"/>
    <w:link w:val="40"/>
    <w:qFormat/>
    <w:rsid w:val="00682CE8"/>
    <w:pPr>
      <w:keepNext/>
      <w:spacing w:before="240" w:after="60"/>
      <w:outlineLvl w:val="3"/>
    </w:pPr>
    <w:rPr>
      <w:b/>
      <w:bCs/>
      <w:sz w:val="28"/>
      <w:szCs w:val="28"/>
    </w:rPr>
  </w:style>
  <w:style w:type="paragraph" w:styleId="6">
    <w:name w:val="heading 6"/>
    <w:basedOn w:val="a"/>
    <w:next w:val="a"/>
    <w:link w:val="60"/>
    <w:qFormat/>
    <w:rsid w:val="00682CE8"/>
    <w:pPr>
      <w:spacing w:before="240" w:after="60"/>
      <w:outlineLvl w:val="5"/>
    </w:pPr>
    <w:rPr>
      <w:b/>
      <w:bCs/>
      <w:sz w:val="22"/>
      <w:szCs w:val="22"/>
    </w:rPr>
  </w:style>
  <w:style w:type="paragraph" w:styleId="7">
    <w:name w:val="heading 7"/>
    <w:basedOn w:val="a"/>
    <w:next w:val="a"/>
    <w:link w:val="70"/>
    <w:qFormat/>
    <w:rsid w:val="00682CE8"/>
    <w:pPr>
      <w:keepNext/>
      <w:ind w:left="2127" w:firstLine="709"/>
      <w:jc w:val="center"/>
      <w:outlineLvl w:val="6"/>
    </w:pPr>
    <w:rPr>
      <w:rFonts w:ascii="FreeSetCTT" w:hAnsi="FreeSetCTT"/>
      <w:b/>
      <w:bCs/>
    </w:rPr>
  </w:style>
  <w:style w:type="paragraph" w:styleId="8">
    <w:name w:val="heading 8"/>
    <w:basedOn w:val="a"/>
    <w:next w:val="a"/>
    <w:link w:val="80"/>
    <w:qFormat/>
    <w:rsid w:val="00682CE8"/>
    <w:pPr>
      <w:spacing w:before="240" w:after="60"/>
      <w:outlineLvl w:val="7"/>
    </w:pPr>
    <w:rPr>
      <w:i/>
      <w:iCs/>
    </w:rPr>
  </w:style>
  <w:style w:type="paragraph" w:styleId="9">
    <w:name w:val="heading 9"/>
    <w:basedOn w:val="a"/>
    <w:next w:val="a"/>
    <w:link w:val="90"/>
    <w:qFormat/>
    <w:rsid w:val="00682CE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CE8"/>
    <w:rPr>
      <w:rFonts w:ascii="Arial" w:eastAsia="Times New Roman" w:hAnsi="Arial" w:cs="Arial"/>
      <w:b/>
      <w:bCs/>
      <w:kern w:val="32"/>
      <w:sz w:val="32"/>
      <w:szCs w:val="32"/>
      <w:lang w:eastAsia="ru-RU"/>
    </w:rPr>
  </w:style>
  <w:style w:type="character" w:customStyle="1" w:styleId="20">
    <w:name w:val="Заголовок 2 Знак"/>
    <w:basedOn w:val="a0"/>
    <w:link w:val="2"/>
    <w:rsid w:val="00682CE8"/>
    <w:rPr>
      <w:rFonts w:ascii="Arial" w:eastAsia="Times New Roman" w:hAnsi="Arial" w:cs="Arial"/>
      <w:b/>
      <w:bCs/>
      <w:i/>
      <w:iCs/>
      <w:sz w:val="28"/>
      <w:szCs w:val="28"/>
      <w:lang w:eastAsia="ru-RU"/>
    </w:rPr>
  </w:style>
  <w:style w:type="character" w:customStyle="1" w:styleId="30">
    <w:name w:val="Заголовок 3 Знак"/>
    <w:basedOn w:val="a0"/>
    <w:link w:val="3"/>
    <w:rsid w:val="00682CE8"/>
    <w:rPr>
      <w:rFonts w:ascii="Arial" w:eastAsia="Times New Roman" w:hAnsi="Arial" w:cs="Arial"/>
      <w:b/>
      <w:bCs/>
      <w:sz w:val="26"/>
      <w:szCs w:val="26"/>
      <w:lang w:eastAsia="ru-RU"/>
    </w:rPr>
  </w:style>
  <w:style w:type="character" w:customStyle="1" w:styleId="40">
    <w:name w:val="Заголовок 4 Знак"/>
    <w:basedOn w:val="a0"/>
    <w:link w:val="4"/>
    <w:rsid w:val="00682CE8"/>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682CE8"/>
    <w:rPr>
      <w:rFonts w:ascii="Times New Roman" w:eastAsia="Times New Roman" w:hAnsi="Times New Roman" w:cs="Times New Roman"/>
      <w:b/>
      <w:bCs/>
      <w:lang w:eastAsia="ru-RU"/>
    </w:rPr>
  </w:style>
  <w:style w:type="character" w:customStyle="1" w:styleId="70">
    <w:name w:val="Заголовок 7 Знак"/>
    <w:basedOn w:val="a0"/>
    <w:link w:val="7"/>
    <w:rsid w:val="00682CE8"/>
    <w:rPr>
      <w:rFonts w:ascii="FreeSetCTT" w:eastAsia="Times New Roman" w:hAnsi="FreeSetCTT" w:cs="Times New Roman"/>
      <w:b/>
      <w:bCs/>
      <w:sz w:val="24"/>
      <w:szCs w:val="24"/>
      <w:lang w:eastAsia="ru-RU"/>
    </w:rPr>
  </w:style>
  <w:style w:type="character" w:customStyle="1" w:styleId="80">
    <w:name w:val="Заголовок 8 Знак"/>
    <w:basedOn w:val="a0"/>
    <w:link w:val="8"/>
    <w:rsid w:val="00682CE8"/>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82CE8"/>
    <w:rPr>
      <w:rFonts w:ascii="Arial" w:eastAsia="Times New Roman" w:hAnsi="Arial" w:cs="Arial"/>
      <w:lang w:eastAsia="ru-RU"/>
    </w:rPr>
  </w:style>
  <w:style w:type="paragraph" w:customStyle="1" w:styleId="112">
    <w:name w:val="Стиль Заголовок 1 + 12 пт"/>
    <w:basedOn w:val="1"/>
    <w:rsid w:val="00682CE8"/>
    <w:pPr>
      <w:jc w:val="center"/>
    </w:pPr>
    <w:rPr>
      <w:sz w:val="24"/>
    </w:rPr>
  </w:style>
  <w:style w:type="paragraph" w:customStyle="1" w:styleId="Arial">
    <w:name w:val="Стиль Рег_текст + Arial"/>
    <w:basedOn w:val="a"/>
    <w:rsid w:val="00682CE8"/>
    <w:pPr>
      <w:spacing w:before="120"/>
      <w:jc w:val="both"/>
    </w:pPr>
    <w:rPr>
      <w:rFonts w:ascii="Arial" w:hAnsi="Arial"/>
    </w:rPr>
  </w:style>
  <w:style w:type="table" w:styleId="a3">
    <w:name w:val="Table Grid"/>
    <w:basedOn w:val="a1"/>
    <w:rsid w:val="00682C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682CE8"/>
    <w:pPr>
      <w:jc w:val="center"/>
    </w:pPr>
    <w:rPr>
      <w:b/>
      <w:bCs/>
      <w:sz w:val="28"/>
    </w:rPr>
  </w:style>
  <w:style w:type="character" w:customStyle="1" w:styleId="a5">
    <w:name w:val="Название Знак"/>
    <w:basedOn w:val="a0"/>
    <w:link w:val="a4"/>
    <w:rsid w:val="00682CE8"/>
    <w:rPr>
      <w:rFonts w:ascii="Times New Roman" w:eastAsia="Times New Roman" w:hAnsi="Times New Roman" w:cs="Times New Roman"/>
      <w:b/>
      <w:bCs/>
      <w:sz w:val="28"/>
      <w:szCs w:val="24"/>
      <w:lang w:eastAsia="ru-RU"/>
    </w:rPr>
  </w:style>
  <w:style w:type="paragraph" w:styleId="a6">
    <w:name w:val="Body Text"/>
    <w:basedOn w:val="a"/>
    <w:link w:val="a7"/>
    <w:rsid w:val="00682CE8"/>
    <w:pPr>
      <w:jc w:val="center"/>
    </w:pPr>
    <w:rPr>
      <w:rFonts w:ascii="FreeSetCTT" w:hAnsi="FreeSetCTT"/>
      <w:b/>
      <w:bCs/>
      <w:sz w:val="36"/>
    </w:rPr>
  </w:style>
  <w:style w:type="character" w:customStyle="1" w:styleId="a7">
    <w:name w:val="Основной текст Знак"/>
    <w:basedOn w:val="a0"/>
    <w:link w:val="a6"/>
    <w:rsid w:val="00682CE8"/>
    <w:rPr>
      <w:rFonts w:ascii="FreeSetCTT" w:eastAsia="Times New Roman" w:hAnsi="FreeSetCTT" w:cs="Times New Roman"/>
      <w:b/>
      <w:bCs/>
      <w:sz w:val="36"/>
      <w:szCs w:val="24"/>
      <w:lang w:eastAsia="ru-RU"/>
    </w:rPr>
  </w:style>
  <w:style w:type="paragraph" w:styleId="a8">
    <w:name w:val="Balloon Text"/>
    <w:basedOn w:val="a"/>
    <w:link w:val="a9"/>
    <w:semiHidden/>
    <w:rsid w:val="00682CE8"/>
    <w:rPr>
      <w:rFonts w:ascii="Tahoma" w:hAnsi="Tahoma" w:cs="Tahoma"/>
      <w:sz w:val="16"/>
      <w:szCs w:val="16"/>
    </w:rPr>
  </w:style>
  <w:style w:type="character" w:customStyle="1" w:styleId="a9">
    <w:name w:val="Текст выноски Знак"/>
    <w:basedOn w:val="a0"/>
    <w:link w:val="a8"/>
    <w:semiHidden/>
    <w:rsid w:val="00682CE8"/>
    <w:rPr>
      <w:rFonts w:ascii="Tahoma" w:eastAsia="Times New Roman" w:hAnsi="Tahoma" w:cs="Tahoma"/>
      <w:sz w:val="16"/>
      <w:szCs w:val="16"/>
      <w:lang w:eastAsia="ru-RU"/>
    </w:rPr>
  </w:style>
  <w:style w:type="character" w:styleId="aa">
    <w:name w:val="Hyperlink"/>
    <w:uiPriority w:val="99"/>
    <w:rsid w:val="00682CE8"/>
    <w:rPr>
      <w:color w:val="0000FF"/>
      <w:u w:val="single"/>
    </w:rPr>
  </w:style>
  <w:style w:type="paragraph" w:styleId="11">
    <w:name w:val="toc 1"/>
    <w:basedOn w:val="a"/>
    <w:next w:val="a"/>
    <w:autoRedefine/>
    <w:uiPriority w:val="39"/>
    <w:rsid w:val="00682CE8"/>
    <w:pPr>
      <w:spacing w:before="120"/>
    </w:pPr>
    <w:rPr>
      <w:rFonts w:ascii="Arial" w:hAnsi="Arial"/>
      <w:bCs/>
      <w:iCs/>
    </w:rPr>
  </w:style>
  <w:style w:type="paragraph" w:styleId="21">
    <w:name w:val="toc 2"/>
    <w:basedOn w:val="a"/>
    <w:next w:val="a"/>
    <w:autoRedefine/>
    <w:semiHidden/>
    <w:rsid w:val="00682CE8"/>
    <w:pPr>
      <w:spacing w:before="120"/>
      <w:ind w:left="240"/>
    </w:pPr>
    <w:rPr>
      <w:rFonts w:ascii="Arial" w:hAnsi="Arial"/>
      <w:bCs/>
      <w:sz w:val="22"/>
      <w:szCs w:val="22"/>
    </w:rPr>
  </w:style>
  <w:style w:type="paragraph" w:styleId="31">
    <w:name w:val="toc 3"/>
    <w:basedOn w:val="a"/>
    <w:next w:val="a"/>
    <w:autoRedefine/>
    <w:semiHidden/>
    <w:rsid w:val="00682CE8"/>
    <w:pPr>
      <w:ind w:left="480"/>
    </w:pPr>
    <w:rPr>
      <w:rFonts w:ascii="Arial" w:hAnsi="Arial"/>
      <w:sz w:val="20"/>
      <w:szCs w:val="20"/>
    </w:rPr>
  </w:style>
  <w:style w:type="paragraph" w:styleId="41">
    <w:name w:val="toc 4"/>
    <w:basedOn w:val="a"/>
    <w:next w:val="a"/>
    <w:autoRedefine/>
    <w:semiHidden/>
    <w:rsid w:val="00682CE8"/>
    <w:pPr>
      <w:ind w:left="720"/>
    </w:pPr>
    <w:rPr>
      <w:rFonts w:ascii="Arial" w:hAnsi="Arial"/>
      <w:sz w:val="20"/>
      <w:szCs w:val="20"/>
    </w:rPr>
  </w:style>
  <w:style w:type="paragraph" w:styleId="5">
    <w:name w:val="toc 5"/>
    <w:basedOn w:val="a"/>
    <w:next w:val="a"/>
    <w:autoRedefine/>
    <w:semiHidden/>
    <w:rsid w:val="00682CE8"/>
    <w:pPr>
      <w:ind w:left="960"/>
    </w:pPr>
    <w:rPr>
      <w:sz w:val="20"/>
      <w:szCs w:val="20"/>
    </w:rPr>
  </w:style>
  <w:style w:type="paragraph" w:styleId="61">
    <w:name w:val="toc 6"/>
    <w:basedOn w:val="a"/>
    <w:next w:val="a"/>
    <w:autoRedefine/>
    <w:semiHidden/>
    <w:rsid w:val="00682CE8"/>
    <w:pPr>
      <w:ind w:left="1200"/>
    </w:pPr>
    <w:rPr>
      <w:sz w:val="20"/>
      <w:szCs w:val="20"/>
    </w:rPr>
  </w:style>
  <w:style w:type="paragraph" w:styleId="71">
    <w:name w:val="toc 7"/>
    <w:basedOn w:val="a"/>
    <w:next w:val="a"/>
    <w:autoRedefine/>
    <w:semiHidden/>
    <w:rsid w:val="00682CE8"/>
    <w:pPr>
      <w:ind w:left="1440"/>
    </w:pPr>
    <w:rPr>
      <w:sz w:val="20"/>
      <w:szCs w:val="20"/>
    </w:rPr>
  </w:style>
  <w:style w:type="paragraph" w:styleId="81">
    <w:name w:val="toc 8"/>
    <w:basedOn w:val="a"/>
    <w:next w:val="a"/>
    <w:autoRedefine/>
    <w:semiHidden/>
    <w:rsid w:val="00682CE8"/>
    <w:pPr>
      <w:ind w:left="1680"/>
    </w:pPr>
    <w:rPr>
      <w:sz w:val="20"/>
      <w:szCs w:val="20"/>
    </w:rPr>
  </w:style>
  <w:style w:type="paragraph" w:styleId="91">
    <w:name w:val="toc 9"/>
    <w:basedOn w:val="a"/>
    <w:next w:val="a"/>
    <w:autoRedefine/>
    <w:semiHidden/>
    <w:rsid w:val="00682CE8"/>
    <w:pPr>
      <w:ind w:left="1920"/>
    </w:pPr>
    <w:rPr>
      <w:sz w:val="20"/>
      <w:szCs w:val="20"/>
    </w:rPr>
  </w:style>
  <w:style w:type="paragraph" w:styleId="ab">
    <w:name w:val="Body Text Indent"/>
    <w:basedOn w:val="a"/>
    <w:link w:val="ac"/>
    <w:rsid w:val="00682CE8"/>
    <w:pPr>
      <w:spacing w:after="120"/>
      <w:ind w:left="283"/>
    </w:pPr>
  </w:style>
  <w:style w:type="character" w:customStyle="1" w:styleId="ac">
    <w:name w:val="Основной текст с отступом Знак"/>
    <w:basedOn w:val="a0"/>
    <w:link w:val="ab"/>
    <w:rsid w:val="00682CE8"/>
    <w:rPr>
      <w:rFonts w:ascii="Times New Roman" w:eastAsia="Times New Roman" w:hAnsi="Times New Roman" w:cs="Times New Roman"/>
      <w:sz w:val="24"/>
      <w:szCs w:val="24"/>
      <w:lang w:eastAsia="ru-RU"/>
    </w:rPr>
  </w:style>
  <w:style w:type="paragraph" w:styleId="32">
    <w:name w:val="Body Text 3"/>
    <w:basedOn w:val="a"/>
    <w:link w:val="33"/>
    <w:rsid w:val="00682CE8"/>
    <w:pPr>
      <w:spacing w:after="120"/>
    </w:pPr>
    <w:rPr>
      <w:sz w:val="16"/>
      <w:szCs w:val="16"/>
    </w:rPr>
  </w:style>
  <w:style w:type="character" w:customStyle="1" w:styleId="33">
    <w:name w:val="Основной текст 3 Знак"/>
    <w:basedOn w:val="a0"/>
    <w:link w:val="32"/>
    <w:rsid w:val="00682CE8"/>
    <w:rPr>
      <w:rFonts w:ascii="Times New Roman" w:eastAsia="Times New Roman" w:hAnsi="Times New Roman" w:cs="Times New Roman"/>
      <w:sz w:val="16"/>
      <w:szCs w:val="16"/>
      <w:lang w:eastAsia="ru-RU"/>
    </w:rPr>
  </w:style>
  <w:style w:type="paragraph" w:styleId="22">
    <w:name w:val="Body Text Indent 2"/>
    <w:basedOn w:val="a"/>
    <w:link w:val="23"/>
    <w:rsid w:val="00682CE8"/>
    <w:pPr>
      <w:spacing w:after="120" w:line="480" w:lineRule="auto"/>
      <w:ind w:left="283"/>
    </w:pPr>
  </w:style>
  <w:style w:type="character" w:customStyle="1" w:styleId="23">
    <w:name w:val="Основной текст с отступом 2 Знак"/>
    <w:basedOn w:val="a0"/>
    <w:link w:val="22"/>
    <w:rsid w:val="00682CE8"/>
    <w:rPr>
      <w:rFonts w:ascii="Times New Roman" w:eastAsia="Times New Roman" w:hAnsi="Times New Roman" w:cs="Times New Roman"/>
      <w:sz w:val="24"/>
      <w:szCs w:val="24"/>
      <w:lang w:eastAsia="ru-RU"/>
    </w:rPr>
  </w:style>
  <w:style w:type="paragraph" w:customStyle="1" w:styleId="NRUS">
    <w:name w:val="N_RUS"/>
    <w:basedOn w:val="a"/>
    <w:rsid w:val="00682CE8"/>
    <w:pPr>
      <w:autoSpaceDE w:val="0"/>
      <w:autoSpaceDN w:val="0"/>
      <w:jc w:val="both"/>
    </w:pPr>
    <w:rPr>
      <w:rFonts w:ascii="Antiqua" w:hAnsi="Antiqua"/>
    </w:rPr>
  </w:style>
  <w:style w:type="paragraph" w:customStyle="1" w:styleId="34">
    <w:name w:val="заголовок 3"/>
    <w:basedOn w:val="a"/>
    <w:next w:val="a"/>
    <w:rsid w:val="00682CE8"/>
    <w:pPr>
      <w:keepNext/>
      <w:autoSpaceDE w:val="0"/>
      <w:autoSpaceDN w:val="0"/>
    </w:pPr>
    <w:rPr>
      <w:rFonts w:ascii="Arial" w:hAnsi="Arial" w:cs="Arial"/>
      <w:b/>
      <w:bCs/>
      <w:sz w:val="18"/>
    </w:rPr>
  </w:style>
  <w:style w:type="paragraph" w:customStyle="1" w:styleId="62">
    <w:name w:val="заголовок 6"/>
    <w:basedOn w:val="a"/>
    <w:next w:val="a"/>
    <w:rsid w:val="00682CE8"/>
    <w:pPr>
      <w:keepNext/>
      <w:autoSpaceDE w:val="0"/>
      <w:autoSpaceDN w:val="0"/>
      <w:jc w:val="center"/>
    </w:pPr>
    <w:rPr>
      <w:i/>
      <w:iCs/>
    </w:rPr>
  </w:style>
  <w:style w:type="character" w:customStyle="1" w:styleId="ad">
    <w:name w:val="номер страницы"/>
    <w:basedOn w:val="a0"/>
    <w:rsid w:val="00682CE8"/>
  </w:style>
  <w:style w:type="character" w:styleId="ae">
    <w:name w:val="page number"/>
    <w:basedOn w:val="a0"/>
    <w:rsid w:val="00682CE8"/>
  </w:style>
  <w:style w:type="paragraph" w:styleId="af">
    <w:name w:val="header"/>
    <w:basedOn w:val="a"/>
    <w:link w:val="af0"/>
    <w:rsid w:val="00682CE8"/>
    <w:pPr>
      <w:tabs>
        <w:tab w:val="center" w:pos="4677"/>
        <w:tab w:val="right" w:pos="9355"/>
      </w:tabs>
    </w:pPr>
  </w:style>
  <w:style w:type="character" w:customStyle="1" w:styleId="af0">
    <w:name w:val="Верхний колонтитул Знак"/>
    <w:basedOn w:val="a0"/>
    <w:link w:val="af"/>
    <w:rsid w:val="00682CE8"/>
    <w:rPr>
      <w:rFonts w:ascii="Times New Roman" w:eastAsia="Times New Roman" w:hAnsi="Times New Roman" w:cs="Times New Roman"/>
      <w:sz w:val="24"/>
      <w:szCs w:val="24"/>
      <w:lang w:eastAsia="ru-RU"/>
    </w:rPr>
  </w:style>
  <w:style w:type="paragraph" w:styleId="af1">
    <w:name w:val="annotation text"/>
    <w:basedOn w:val="a"/>
    <w:link w:val="af2"/>
    <w:semiHidden/>
    <w:rsid w:val="00682CE8"/>
    <w:rPr>
      <w:sz w:val="20"/>
      <w:szCs w:val="20"/>
    </w:rPr>
  </w:style>
  <w:style w:type="character" w:customStyle="1" w:styleId="af2">
    <w:name w:val="Текст примечания Знак"/>
    <w:basedOn w:val="a0"/>
    <w:link w:val="af1"/>
    <w:semiHidden/>
    <w:rsid w:val="00682CE8"/>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682CE8"/>
    <w:rPr>
      <w:b/>
      <w:bCs/>
    </w:rPr>
  </w:style>
  <w:style w:type="character" w:customStyle="1" w:styleId="af4">
    <w:name w:val="Тема примечания Знак"/>
    <w:basedOn w:val="af2"/>
    <w:link w:val="af3"/>
    <w:semiHidden/>
    <w:rsid w:val="00682CE8"/>
    <w:rPr>
      <w:rFonts w:ascii="Times New Roman" w:eastAsia="Times New Roman" w:hAnsi="Times New Roman" w:cs="Times New Roman"/>
      <w:b/>
      <w:bCs/>
      <w:sz w:val="20"/>
      <w:szCs w:val="20"/>
      <w:lang w:eastAsia="ru-RU"/>
    </w:rPr>
  </w:style>
  <w:style w:type="paragraph" w:styleId="af5">
    <w:name w:val="footer"/>
    <w:basedOn w:val="a"/>
    <w:link w:val="af6"/>
    <w:uiPriority w:val="99"/>
    <w:rsid w:val="00682CE8"/>
    <w:pPr>
      <w:tabs>
        <w:tab w:val="center" w:pos="4677"/>
        <w:tab w:val="right" w:pos="9355"/>
      </w:tabs>
    </w:pPr>
  </w:style>
  <w:style w:type="character" w:customStyle="1" w:styleId="af6">
    <w:name w:val="Нижний колонтитул Знак"/>
    <w:basedOn w:val="a0"/>
    <w:link w:val="af5"/>
    <w:uiPriority w:val="99"/>
    <w:rsid w:val="00682CE8"/>
    <w:rPr>
      <w:rFonts w:ascii="Times New Roman" w:eastAsia="Times New Roman" w:hAnsi="Times New Roman" w:cs="Times New Roman"/>
      <w:sz w:val="24"/>
      <w:szCs w:val="24"/>
    </w:rPr>
  </w:style>
  <w:style w:type="paragraph" w:styleId="af7">
    <w:name w:val="footnote text"/>
    <w:basedOn w:val="a"/>
    <w:link w:val="af8"/>
    <w:semiHidden/>
    <w:rsid w:val="00682CE8"/>
    <w:rPr>
      <w:sz w:val="20"/>
      <w:szCs w:val="20"/>
    </w:rPr>
  </w:style>
  <w:style w:type="character" w:customStyle="1" w:styleId="af8">
    <w:name w:val="Текст сноски Знак"/>
    <w:basedOn w:val="a0"/>
    <w:link w:val="af7"/>
    <w:semiHidden/>
    <w:rsid w:val="00682CE8"/>
    <w:rPr>
      <w:rFonts w:ascii="Times New Roman" w:eastAsia="Times New Roman" w:hAnsi="Times New Roman" w:cs="Times New Roman"/>
      <w:sz w:val="20"/>
      <w:szCs w:val="20"/>
      <w:lang w:eastAsia="ru-RU"/>
    </w:rPr>
  </w:style>
  <w:style w:type="character" w:styleId="af9">
    <w:name w:val="footnote reference"/>
    <w:semiHidden/>
    <w:rsid w:val="00682CE8"/>
    <w:rPr>
      <w:vertAlign w:val="superscript"/>
    </w:rPr>
  </w:style>
  <w:style w:type="character" w:styleId="afa">
    <w:name w:val="annotation reference"/>
    <w:semiHidden/>
    <w:rsid w:val="00682CE8"/>
    <w:rPr>
      <w:sz w:val="16"/>
      <w:szCs w:val="16"/>
    </w:rPr>
  </w:style>
  <w:style w:type="paragraph" w:styleId="afb">
    <w:name w:val="Document Map"/>
    <w:basedOn w:val="a"/>
    <w:link w:val="afc"/>
    <w:semiHidden/>
    <w:rsid w:val="00682CE8"/>
    <w:pPr>
      <w:shd w:val="clear" w:color="auto" w:fill="000080"/>
    </w:pPr>
    <w:rPr>
      <w:rFonts w:ascii="Tahoma" w:hAnsi="Tahoma" w:cs="Tahoma"/>
      <w:sz w:val="20"/>
      <w:szCs w:val="20"/>
    </w:rPr>
  </w:style>
  <w:style w:type="character" w:customStyle="1" w:styleId="afc">
    <w:name w:val="Схема документа Знак"/>
    <w:basedOn w:val="a0"/>
    <w:link w:val="afb"/>
    <w:semiHidden/>
    <w:rsid w:val="00682CE8"/>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
    <w:rsid w:val="00682CE8"/>
    <w:pPr>
      <w:numPr>
        <w:numId w:val="1"/>
      </w:numPr>
    </w:pPr>
    <w:rPr>
      <w:rFonts w:ascii="Arial" w:hAnsi="Arial"/>
    </w:rPr>
  </w:style>
  <w:style w:type="paragraph" w:customStyle="1" w:styleId="1-">
    <w:name w:val="Ст1-осн.текст"/>
    <w:basedOn w:val="ab"/>
    <w:rsid w:val="00682CE8"/>
    <w:pPr>
      <w:spacing w:after="240"/>
      <w:ind w:left="0"/>
      <w:jc w:val="both"/>
    </w:pPr>
    <w:rPr>
      <w:rFonts w:ascii="Arial" w:hAnsi="Arial"/>
      <w:szCs w:val="20"/>
      <w:lang w:eastAsia="en-US"/>
    </w:rPr>
  </w:style>
  <w:style w:type="paragraph" w:customStyle="1" w:styleId="Web">
    <w:name w:val="Обычный (Web)"/>
    <w:basedOn w:val="a"/>
    <w:rsid w:val="00682CE8"/>
    <w:pPr>
      <w:spacing w:before="100" w:after="100"/>
    </w:pPr>
    <w:rPr>
      <w:rFonts w:ascii="Arial Unicode MS" w:eastAsia="Arial Unicode MS" w:hAnsi="Arial Unicode MS"/>
      <w:szCs w:val="20"/>
    </w:rPr>
  </w:style>
  <w:style w:type="paragraph" w:styleId="HTML">
    <w:name w:val="HTML Preformatted"/>
    <w:basedOn w:val="a"/>
    <w:link w:val="HTML0"/>
    <w:rsid w:val="00682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82CE8"/>
    <w:rPr>
      <w:rFonts w:ascii="Courier New" w:eastAsia="Times New Roman" w:hAnsi="Courier New" w:cs="Courier New"/>
      <w:sz w:val="20"/>
      <w:szCs w:val="20"/>
      <w:lang w:eastAsia="ru-RU"/>
    </w:rPr>
  </w:style>
  <w:style w:type="paragraph" w:styleId="afd">
    <w:name w:val="List Paragraph"/>
    <w:basedOn w:val="a"/>
    <w:uiPriority w:val="34"/>
    <w:qFormat/>
    <w:rsid w:val="00682CE8"/>
    <w:pPr>
      <w:ind w:left="708"/>
    </w:pPr>
  </w:style>
  <w:style w:type="character" w:styleId="afe">
    <w:name w:val="Emphasis"/>
    <w:qFormat/>
    <w:rsid w:val="00682C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8137B-F08A-40BA-BEC1-555A77DA9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7932</Words>
  <Characters>45218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ujan</dc:creator>
  <cp:lastModifiedBy>Мажарова Татьяна Александровна</cp:lastModifiedBy>
  <cp:revision>2</cp:revision>
  <cp:lastPrinted>2015-01-14T12:19:00Z</cp:lastPrinted>
  <dcterms:created xsi:type="dcterms:W3CDTF">2016-05-17T11:57:00Z</dcterms:created>
  <dcterms:modified xsi:type="dcterms:W3CDTF">2016-05-17T11:57:00Z</dcterms:modified>
</cp:coreProperties>
</file>